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5440" w14:textId="77777777" w:rsidR="00A51567" w:rsidRPr="00E367DF" w:rsidRDefault="00A51567" w:rsidP="00A51567">
      <w:pPr>
        <w:jc w:val="center"/>
        <w:rPr>
          <w:rFonts w:ascii="Times New Roman" w:eastAsia="Times New Roman" w:hAnsi="Times New Roman" w:cs="Times New Roman"/>
          <w:sz w:val="24"/>
          <w:szCs w:val="24"/>
          <w:lang w:eastAsia="en-GB"/>
        </w:rPr>
      </w:pPr>
      <w:r w:rsidRPr="006B47FD">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"C:\\Users\\ambuyajohn\\Library\\Group Containers\\UBF8T346G9.ms\\WebArchiveCopyPasteTempFiles\\com.microsoft.Word\\page1image1273825328" \* MERGEFORMAT </w:instrText>
      </w:r>
      <w:r w:rsidRPr="006B47FD">
        <w:rPr>
          <w:rFonts w:ascii="Times New Roman" w:eastAsia="Times New Roman" w:hAnsi="Times New Roman" w:cs="Times New Roman"/>
          <w:sz w:val="24"/>
          <w:szCs w:val="24"/>
          <w:lang w:eastAsia="en-GB"/>
        </w:rPr>
        <w:fldChar w:fldCharType="separate"/>
      </w:r>
      <w:r w:rsidRPr="006B47FD">
        <w:rPr>
          <w:rFonts w:ascii="Times New Roman" w:eastAsia="Times New Roman" w:hAnsi="Times New Roman" w:cs="Times New Roman"/>
          <w:noProof/>
          <w:sz w:val="24"/>
          <w:szCs w:val="24"/>
          <w:lang w:eastAsia="en-GB"/>
        </w:rPr>
        <w:drawing>
          <wp:inline distT="0" distB="0" distL="0" distR="0" wp14:anchorId="3F5C921D" wp14:editId="5D5E2E23">
            <wp:extent cx="3349330" cy="1367073"/>
            <wp:effectExtent l="0" t="0" r="381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71681" cy="1376196"/>
                    </a:xfrm>
                    <a:prstGeom prst="rect">
                      <a:avLst/>
                    </a:prstGeom>
                    <a:noFill/>
                    <a:ln>
                      <a:noFill/>
                    </a:ln>
                  </pic:spPr>
                </pic:pic>
              </a:graphicData>
            </a:graphic>
          </wp:inline>
        </w:drawing>
      </w:r>
      <w:r w:rsidRPr="006B47FD">
        <w:rPr>
          <w:rFonts w:ascii="Times New Roman" w:eastAsia="Times New Roman" w:hAnsi="Times New Roman" w:cs="Times New Roman"/>
          <w:sz w:val="24"/>
          <w:szCs w:val="24"/>
          <w:lang w:eastAsia="en-GB"/>
        </w:rPr>
        <w:fldChar w:fldCharType="end"/>
      </w:r>
    </w:p>
    <w:p w14:paraId="39FEF6AA" w14:textId="77777777" w:rsidR="00A51567" w:rsidRPr="00974F9A" w:rsidRDefault="00A51567" w:rsidP="00A51567">
      <w:pPr>
        <w:rPr>
          <w:rFonts w:ascii="Corbel" w:hAnsi="Corbel"/>
          <w:b/>
          <w:bCs/>
          <w:sz w:val="32"/>
          <w:szCs w:val="32"/>
        </w:rPr>
      </w:pPr>
    </w:p>
    <w:p w14:paraId="0549A251" w14:textId="77777777" w:rsidR="00A51567" w:rsidRPr="00974F9A" w:rsidRDefault="00A51567" w:rsidP="00A51567">
      <w:pPr>
        <w:rPr>
          <w:rFonts w:ascii="Corbel" w:hAnsi="Corbel"/>
          <w:b/>
          <w:bCs/>
          <w:sz w:val="32"/>
          <w:szCs w:val="32"/>
        </w:rPr>
      </w:pPr>
    </w:p>
    <w:p w14:paraId="74E4A6A2" w14:textId="5B07BCDD" w:rsidR="00A51567" w:rsidRPr="00A51567" w:rsidRDefault="00A51567" w:rsidP="00A51567">
      <w:pPr>
        <w:jc w:val="center"/>
        <w:rPr>
          <w:rFonts w:asciiTheme="minorHAnsi" w:hAnsiTheme="minorHAnsi" w:cstheme="minorHAnsi"/>
          <w:b/>
          <w:bCs/>
          <w:sz w:val="40"/>
          <w:szCs w:val="40"/>
        </w:rPr>
      </w:pPr>
      <w:r w:rsidRPr="00A51567">
        <w:rPr>
          <w:rFonts w:asciiTheme="minorHAnsi" w:hAnsiTheme="minorHAnsi" w:cstheme="minorHAnsi"/>
          <w:b/>
          <w:bCs/>
          <w:sz w:val="40"/>
          <w:szCs w:val="40"/>
        </w:rPr>
        <w:t>KENYA DIGITAL ECONOMY ACCELERATION PROJECT</w:t>
      </w:r>
    </w:p>
    <w:p w14:paraId="02D99150" w14:textId="401FF50C" w:rsidR="00A51567" w:rsidRPr="00A51567" w:rsidRDefault="00A51567" w:rsidP="00A51567">
      <w:pPr>
        <w:jc w:val="center"/>
        <w:rPr>
          <w:rFonts w:asciiTheme="minorHAnsi" w:hAnsiTheme="minorHAnsi" w:cstheme="minorHAnsi"/>
          <w:b/>
          <w:bCs/>
          <w:sz w:val="40"/>
          <w:szCs w:val="40"/>
        </w:rPr>
      </w:pPr>
      <w:r w:rsidRPr="00A51567">
        <w:rPr>
          <w:rFonts w:asciiTheme="minorHAnsi" w:hAnsiTheme="minorHAnsi" w:cstheme="minorHAnsi"/>
          <w:b/>
          <w:bCs/>
          <w:sz w:val="40"/>
          <w:szCs w:val="40"/>
        </w:rPr>
        <w:t xml:space="preserve"> P170941</w:t>
      </w:r>
    </w:p>
    <w:p w14:paraId="26C47494" w14:textId="77777777" w:rsidR="00E40716" w:rsidRPr="00A732B9" w:rsidRDefault="00E40716" w:rsidP="00E40716">
      <w:pPr>
        <w:jc w:val="center"/>
        <w:rPr>
          <w:rFonts w:asciiTheme="minorHAnsi" w:hAnsiTheme="minorHAnsi" w:cstheme="minorHAnsi"/>
          <w:b/>
          <w:bCs/>
          <w:sz w:val="36"/>
          <w:szCs w:val="36"/>
        </w:rPr>
      </w:pPr>
    </w:p>
    <w:p w14:paraId="5EFAD8F1" w14:textId="3E568AF2" w:rsidR="00A732B9" w:rsidRPr="00B11B4F" w:rsidRDefault="00A732B9" w:rsidP="00E40716">
      <w:pPr>
        <w:jc w:val="center"/>
        <w:rPr>
          <w:rFonts w:asciiTheme="minorHAnsi" w:hAnsiTheme="minorHAnsi" w:cstheme="minorHAnsi"/>
          <w:b/>
          <w:bCs/>
          <w:sz w:val="36"/>
          <w:szCs w:val="36"/>
          <w:vertAlign w:val="superscript"/>
        </w:rPr>
      </w:pPr>
      <w:r w:rsidRPr="00A732B9">
        <w:rPr>
          <w:rFonts w:asciiTheme="minorHAnsi" w:hAnsiTheme="minorHAnsi" w:cstheme="minorHAnsi"/>
          <w:b/>
          <w:bCs/>
          <w:sz w:val="36"/>
          <w:szCs w:val="36"/>
        </w:rPr>
        <w:t>S</w:t>
      </w:r>
      <w:r>
        <w:rPr>
          <w:rFonts w:asciiTheme="minorHAnsi" w:hAnsiTheme="minorHAnsi" w:cstheme="minorHAnsi"/>
          <w:b/>
          <w:bCs/>
          <w:sz w:val="36"/>
          <w:szCs w:val="36"/>
        </w:rPr>
        <w:t xml:space="preserve">exual </w:t>
      </w:r>
      <w:r w:rsidRPr="00A732B9">
        <w:rPr>
          <w:rFonts w:asciiTheme="minorHAnsi" w:hAnsiTheme="minorHAnsi" w:cstheme="minorHAnsi"/>
          <w:b/>
          <w:bCs/>
          <w:sz w:val="36"/>
          <w:szCs w:val="36"/>
        </w:rPr>
        <w:t>E</w:t>
      </w:r>
      <w:r>
        <w:rPr>
          <w:rFonts w:asciiTheme="minorHAnsi" w:hAnsiTheme="minorHAnsi" w:cstheme="minorHAnsi"/>
          <w:b/>
          <w:bCs/>
          <w:sz w:val="36"/>
          <w:szCs w:val="36"/>
        </w:rPr>
        <w:t xml:space="preserve">xploitation and </w:t>
      </w:r>
      <w:r w:rsidRPr="00A732B9">
        <w:rPr>
          <w:rFonts w:asciiTheme="minorHAnsi" w:hAnsiTheme="minorHAnsi" w:cstheme="minorHAnsi"/>
          <w:b/>
          <w:bCs/>
          <w:sz w:val="36"/>
          <w:szCs w:val="36"/>
        </w:rPr>
        <w:t>A</w:t>
      </w:r>
      <w:r>
        <w:rPr>
          <w:rFonts w:asciiTheme="minorHAnsi" w:hAnsiTheme="minorHAnsi" w:cstheme="minorHAnsi"/>
          <w:b/>
          <w:bCs/>
          <w:sz w:val="36"/>
          <w:szCs w:val="36"/>
        </w:rPr>
        <w:t>buse</w:t>
      </w:r>
      <w:r w:rsidRPr="00A732B9">
        <w:rPr>
          <w:rFonts w:asciiTheme="minorHAnsi" w:hAnsiTheme="minorHAnsi" w:cstheme="minorHAnsi"/>
          <w:b/>
          <w:bCs/>
          <w:sz w:val="36"/>
          <w:szCs w:val="36"/>
        </w:rPr>
        <w:t>/S</w:t>
      </w:r>
      <w:r>
        <w:rPr>
          <w:rFonts w:asciiTheme="minorHAnsi" w:hAnsiTheme="minorHAnsi" w:cstheme="minorHAnsi"/>
          <w:b/>
          <w:bCs/>
          <w:sz w:val="36"/>
          <w:szCs w:val="36"/>
        </w:rPr>
        <w:t>e</w:t>
      </w:r>
      <w:r w:rsidR="00E53B1A">
        <w:rPr>
          <w:rFonts w:asciiTheme="minorHAnsi" w:hAnsiTheme="minorHAnsi" w:cstheme="minorHAnsi"/>
          <w:b/>
          <w:bCs/>
          <w:sz w:val="36"/>
          <w:szCs w:val="36"/>
        </w:rPr>
        <w:t xml:space="preserve">xual </w:t>
      </w:r>
      <w:r w:rsidRPr="00A732B9">
        <w:rPr>
          <w:rFonts w:asciiTheme="minorHAnsi" w:hAnsiTheme="minorHAnsi" w:cstheme="minorHAnsi"/>
          <w:b/>
          <w:bCs/>
          <w:sz w:val="36"/>
          <w:szCs w:val="36"/>
        </w:rPr>
        <w:t>H</w:t>
      </w:r>
      <w:r w:rsidR="00E53B1A">
        <w:rPr>
          <w:rFonts w:asciiTheme="minorHAnsi" w:hAnsiTheme="minorHAnsi" w:cstheme="minorHAnsi"/>
          <w:b/>
          <w:bCs/>
          <w:sz w:val="36"/>
          <w:szCs w:val="36"/>
        </w:rPr>
        <w:t>arassment</w:t>
      </w:r>
      <w:r w:rsidRPr="00A732B9">
        <w:rPr>
          <w:rFonts w:asciiTheme="minorHAnsi" w:hAnsiTheme="minorHAnsi" w:cstheme="minorHAnsi"/>
          <w:b/>
          <w:bCs/>
          <w:sz w:val="36"/>
          <w:szCs w:val="36"/>
        </w:rPr>
        <w:t xml:space="preserve"> Prevention and Response Action Plan</w:t>
      </w:r>
      <w:r w:rsidR="00981600">
        <w:rPr>
          <w:rStyle w:val="FootnoteReference"/>
          <w:rFonts w:asciiTheme="minorHAnsi" w:hAnsiTheme="minorHAnsi" w:cstheme="minorHAnsi"/>
          <w:b/>
          <w:bCs/>
          <w:sz w:val="36"/>
          <w:szCs w:val="36"/>
        </w:rPr>
        <w:footnoteReference w:id="1"/>
      </w:r>
    </w:p>
    <w:p w14:paraId="7D1226BF" w14:textId="0BA99600" w:rsidR="00E40716" w:rsidRPr="00FE254E" w:rsidRDefault="00ED71BC" w:rsidP="00E40716">
      <w:pPr>
        <w:jc w:val="center"/>
        <w:rPr>
          <w:rFonts w:asciiTheme="minorHAnsi" w:hAnsiTheme="minorHAnsi" w:cstheme="minorHAnsi"/>
          <w:b/>
          <w:bCs/>
          <w:sz w:val="36"/>
          <w:szCs w:val="36"/>
        </w:rPr>
      </w:pPr>
      <w:r>
        <w:rPr>
          <w:rFonts w:asciiTheme="minorHAnsi" w:hAnsiTheme="minorHAnsi" w:cstheme="minorHAnsi"/>
          <w:b/>
          <w:bCs/>
          <w:sz w:val="36"/>
          <w:szCs w:val="36"/>
        </w:rPr>
        <w:t>August</w:t>
      </w:r>
      <w:r w:rsidR="00FE254E" w:rsidRPr="00FE254E">
        <w:rPr>
          <w:rFonts w:asciiTheme="minorHAnsi" w:hAnsiTheme="minorHAnsi" w:cstheme="minorHAnsi"/>
          <w:b/>
          <w:bCs/>
          <w:sz w:val="36"/>
          <w:szCs w:val="36"/>
        </w:rPr>
        <w:t xml:space="preserve"> 2023</w:t>
      </w:r>
    </w:p>
    <w:p w14:paraId="56872BA3" w14:textId="77777777" w:rsidR="00A51567" w:rsidRDefault="00A51567" w:rsidP="00E40716">
      <w:pPr>
        <w:jc w:val="center"/>
        <w:rPr>
          <w:rFonts w:ascii="Times New Roman" w:hAnsi="Times New Roman" w:cs="Times New Roman"/>
          <w:b/>
          <w:bCs/>
          <w:sz w:val="28"/>
          <w:szCs w:val="28"/>
        </w:rPr>
      </w:pPr>
    </w:p>
    <w:p w14:paraId="522E3FCC" w14:textId="77777777" w:rsidR="00A51567" w:rsidRDefault="00A51567" w:rsidP="00E40716">
      <w:pPr>
        <w:jc w:val="center"/>
        <w:rPr>
          <w:rFonts w:ascii="Times New Roman" w:hAnsi="Times New Roman" w:cs="Times New Roman"/>
          <w:b/>
          <w:bCs/>
          <w:sz w:val="28"/>
          <w:szCs w:val="28"/>
        </w:rPr>
      </w:pPr>
    </w:p>
    <w:p w14:paraId="0671E17F" w14:textId="77777777" w:rsidR="0000255F" w:rsidRDefault="0000255F" w:rsidP="00E40716">
      <w:pPr>
        <w:jc w:val="center"/>
        <w:rPr>
          <w:rFonts w:cs="Arial"/>
          <w:b/>
          <w:bCs/>
        </w:rPr>
        <w:sectPr w:rsidR="0000255F" w:rsidSect="00564703">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440" w:right="1440" w:bottom="1440" w:left="1440" w:header="720" w:footer="720" w:gutter="0"/>
          <w:cols w:space="720"/>
          <w:titlePg/>
          <w:docGrid w:linePitch="360"/>
        </w:sectPr>
      </w:pPr>
    </w:p>
    <w:p w14:paraId="314ABE65" w14:textId="77777777" w:rsidR="00E40716" w:rsidRPr="00E24627" w:rsidRDefault="00E40716" w:rsidP="00E40716">
      <w:pPr>
        <w:jc w:val="center"/>
        <w:rPr>
          <w:rFonts w:cs="Arial"/>
          <w:b/>
          <w:bCs/>
        </w:rPr>
      </w:pPr>
    </w:p>
    <w:p w14:paraId="281D2374" w14:textId="77777777" w:rsidR="00E40716" w:rsidRPr="0000255F" w:rsidRDefault="00E40716" w:rsidP="0000255F">
      <w:pPr>
        <w:spacing w:after="0" w:line="240" w:lineRule="auto"/>
        <w:jc w:val="both"/>
        <w:rPr>
          <w:rFonts w:ascii="Times New Roman" w:hAnsi="Times New Roman" w:cs="Times New Roman"/>
          <w:b/>
          <w:bCs/>
          <w:sz w:val="24"/>
          <w:szCs w:val="24"/>
        </w:rPr>
      </w:pPr>
      <w:r w:rsidRPr="0000255F">
        <w:rPr>
          <w:rFonts w:ascii="Times New Roman" w:hAnsi="Times New Roman" w:cs="Times New Roman"/>
          <w:b/>
          <w:bCs/>
          <w:sz w:val="24"/>
          <w:szCs w:val="24"/>
        </w:rPr>
        <w:t>Acronyms</w:t>
      </w:r>
    </w:p>
    <w:tbl>
      <w:tblPr>
        <w:tblStyle w:val="GridTable4-Accent1"/>
        <w:tblW w:w="0" w:type="auto"/>
        <w:tblLook w:val="04A0" w:firstRow="1" w:lastRow="0" w:firstColumn="1" w:lastColumn="0" w:noHBand="0" w:noVBand="1"/>
      </w:tblPr>
      <w:tblGrid>
        <w:gridCol w:w="1255"/>
        <w:gridCol w:w="7755"/>
      </w:tblGrid>
      <w:tr w:rsidR="00E40716" w:rsidRPr="0000255F" w14:paraId="31224BCB" w14:textId="77777777" w:rsidTr="00663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0E5D024"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Acronym</w:t>
            </w:r>
          </w:p>
        </w:tc>
        <w:tc>
          <w:tcPr>
            <w:tcW w:w="7755" w:type="dxa"/>
          </w:tcPr>
          <w:p w14:paraId="0B6EB4FF" w14:textId="77777777" w:rsidR="00E40716" w:rsidRPr="0000255F" w:rsidRDefault="00E40716" w:rsidP="0000255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Definition</w:t>
            </w:r>
          </w:p>
        </w:tc>
      </w:tr>
      <w:tr w:rsidR="003A6D14" w:rsidRPr="0000255F" w14:paraId="771A43E1"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A87B50E" w14:textId="4DD0AC3A" w:rsidR="003A6D14" w:rsidRPr="0000255F" w:rsidRDefault="003A6D14" w:rsidP="0000255F">
            <w:pPr>
              <w:jc w:val="both"/>
              <w:rPr>
                <w:rFonts w:ascii="Times New Roman" w:hAnsi="Times New Roman" w:cs="Times New Roman"/>
                <w:sz w:val="24"/>
                <w:szCs w:val="24"/>
              </w:rPr>
            </w:pPr>
            <w:r>
              <w:rPr>
                <w:rFonts w:ascii="Times New Roman" w:hAnsi="Times New Roman" w:cs="Times New Roman"/>
                <w:sz w:val="24"/>
                <w:szCs w:val="24"/>
              </w:rPr>
              <w:t>CA</w:t>
            </w:r>
          </w:p>
        </w:tc>
        <w:tc>
          <w:tcPr>
            <w:tcW w:w="7755" w:type="dxa"/>
          </w:tcPr>
          <w:p w14:paraId="2339AFCE" w14:textId="79CD8A61" w:rsidR="003A6D14" w:rsidRPr="0000255F" w:rsidRDefault="003A6D14"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Communication Authority </w:t>
            </w:r>
          </w:p>
        </w:tc>
      </w:tr>
      <w:tr w:rsidR="00FA1458" w:rsidRPr="0000255F" w14:paraId="620EF982"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0BDFE094" w14:textId="1A3D6829" w:rsidR="00FA1458" w:rsidRPr="0000255F" w:rsidRDefault="00672A7B" w:rsidP="0000255F">
            <w:pPr>
              <w:jc w:val="both"/>
              <w:rPr>
                <w:rFonts w:ascii="Times New Roman" w:hAnsi="Times New Roman" w:cs="Times New Roman"/>
                <w:sz w:val="24"/>
                <w:szCs w:val="24"/>
              </w:rPr>
            </w:pPr>
            <w:r>
              <w:rPr>
                <w:rFonts w:ascii="Times New Roman" w:hAnsi="Times New Roman" w:cs="Times New Roman"/>
                <w:sz w:val="24"/>
                <w:szCs w:val="24"/>
              </w:rPr>
              <w:t>CERC</w:t>
            </w:r>
          </w:p>
        </w:tc>
        <w:tc>
          <w:tcPr>
            <w:tcW w:w="7755" w:type="dxa"/>
          </w:tcPr>
          <w:p w14:paraId="26B7539A" w14:textId="65A61363" w:rsidR="00FA1458" w:rsidRPr="0000255F" w:rsidRDefault="00672A7B"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Contingent Emergency Response Component </w:t>
            </w:r>
          </w:p>
        </w:tc>
      </w:tr>
      <w:tr w:rsidR="001E13D0" w:rsidRPr="0000255F" w14:paraId="6D4921A4" w14:textId="77777777" w:rsidTr="001E13D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55" w:type="dxa"/>
          </w:tcPr>
          <w:p w14:paraId="17C1CAE6" w14:textId="6A3C78AC" w:rsidR="001E13D0" w:rsidRPr="0000255F" w:rsidRDefault="001E13D0" w:rsidP="0000255F">
            <w:pPr>
              <w:jc w:val="both"/>
              <w:rPr>
                <w:rFonts w:ascii="Times New Roman" w:hAnsi="Times New Roman" w:cs="Times New Roman"/>
                <w:sz w:val="24"/>
                <w:szCs w:val="24"/>
              </w:rPr>
            </w:pPr>
            <w:r w:rsidRPr="00C9049F">
              <w:rPr>
                <w:rFonts w:ascii="Times New Roman" w:hAnsi="Times New Roman" w:cs="Times New Roman"/>
                <w:sz w:val="24"/>
                <w:szCs w:val="24"/>
              </w:rPr>
              <w:t>DLP</w:t>
            </w:r>
          </w:p>
        </w:tc>
        <w:tc>
          <w:tcPr>
            <w:tcW w:w="7755" w:type="dxa"/>
          </w:tcPr>
          <w:p w14:paraId="00919D38" w14:textId="335E94B9" w:rsidR="001E13D0" w:rsidRPr="00C9049F" w:rsidRDefault="001E13D0"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49F">
              <w:rPr>
                <w:rFonts w:ascii="Times New Roman" w:hAnsi="Times New Roman" w:cs="Times New Roman"/>
                <w:sz w:val="24"/>
                <w:szCs w:val="24"/>
              </w:rPr>
              <w:t>Digital Literacy Program</w:t>
            </w:r>
          </w:p>
        </w:tc>
      </w:tr>
      <w:tr w:rsidR="00E40716" w:rsidRPr="0000255F" w14:paraId="78D782CB"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274D482D" w14:textId="36D6D1D4"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DOSH</w:t>
            </w:r>
          </w:p>
        </w:tc>
        <w:tc>
          <w:tcPr>
            <w:tcW w:w="7755" w:type="dxa"/>
          </w:tcPr>
          <w:p w14:paraId="5AD6ADD4"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Directorate of Occupational Safety and Health</w:t>
            </w:r>
          </w:p>
        </w:tc>
      </w:tr>
      <w:tr w:rsidR="00E40716" w:rsidRPr="0000255F" w14:paraId="770C688E"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EC18B58"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ESF</w:t>
            </w:r>
          </w:p>
        </w:tc>
        <w:tc>
          <w:tcPr>
            <w:tcW w:w="7755" w:type="dxa"/>
          </w:tcPr>
          <w:p w14:paraId="620BBADC"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Environment and Social Framework</w:t>
            </w:r>
          </w:p>
        </w:tc>
      </w:tr>
      <w:tr w:rsidR="00E40716" w:rsidRPr="0000255F" w14:paraId="082E5322"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3213F93C" w14:textId="32418F35"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F</w:t>
            </w:r>
            <w:r w:rsidR="003A6D14">
              <w:rPr>
                <w:rFonts w:ascii="Times New Roman" w:hAnsi="Times New Roman" w:cs="Times New Roman"/>
                <w:sz w:val="24"/>
                <w:szCs w:val="24"/>
              </w:rPr>
              <w:t>GM</w:t>
            </w:r>
          </w:p>
        </w:tc>
        <w:tc>
          <w:tcPr>
            <w:tcW w:w="7755" w:type="dxa"/>
          </w:tcPr>
          <w:p w14:paraId="434D5122" w14:textId="6DDA7018" w:rsidR="00E40716" w:rsidRPr="0000255F" w:rsidRDefault="003A6D14"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 Genital Mutilation</w:t>
            </w:r>
          </w:p>
        </w:tc>
      </w:tr>
      <w:tr w:rsidR="00E40716" w:rsidRPr="0000255F" w14:paraId="67D7EEE9"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437E14B"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ESS</w:t>
            </w:r>
          </w:p>
        </w:tc>
        <w:tc>
          <w:tcPr>
            <w:tcW w:w="7755" w:type="dxa"/>
          </w:tcPr>
          <w:p w14:paraId="1ECADEF4" w14:textId="3C44BBDF"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 xml:space="preserve">Environment and Social </w:t>
            </w:r>
            <w:r w:rsidR="00E01795">
              <w:rPr>
                <w:rFonts w:ascii="Times New Roman" w:hAnsi="Times New Roman" w:cs="Times New Roman"/>
                <w:sz w:val="24"/>
                <w:szCs w:val="24"/>
              </w:rPr>
              <w:t>Standards</w:t>
            </w:r>
          </w:p>
        </w:tc>
      </w:tr>
      <w:tr w:rsidR="00E40716" w:rsidRPr="0000255F" w14:paraId="0CE74F10"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11C25ACF" w14:textId="425EFA84" w:rsidR="00E40716" w:rsidRPr="0000255F" w:rsidRDefault="00B676FA" w:rsidP="0000255F">
            <w:pPr>
              <w:jc w:val="both"/>
              <w:rPr>
                <w:rFonts w:ascii="Times New Roman" w:hAnsi="Times New Roman" w:cs="Times New Roman"/>
                <w:sz w:val="24"/>
                <w:szCs w:val="24"/>
              </w:rPr>
            </w:pPr>
            <w:r>
              <w:rPr>
                <w:rFonts w:ascii="Times New Roman" w:hAnsi="Times New Roman" w:cs="Times New Roman"/>
                <w:sz w:val="24"/>
                <w:szCs w:val="24"/>
              </w:rPr>
              <w:t xml:space="preserve">GBV </w:t>
            </w:r>
          </w:p>
        </w:tc>
        <w:tc>
          <w:tcPr>
            <w:tcW w:w="7755" w:type="dxa"/>
          </w:tcPr>
          <w:p w14:paraId="682274CA"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Gender-based Violence</w:t>
            </w:r>
          </w:p>
        </w:tc>
      </w:tr>
      <w:tr w:rsidR="00E40716" w:rsidRPr="0000255F" w14:paraId="604A93C0"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0D0DEF3"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GDP</w:t>
            </w:r>
          </w:p>
        </w:tc>
        <w:tc>
          <w:tcPr>
            <w:tcW w:w="7755" w:type="dxa"/>
          </w:tcPr>
          <w:p w14:paraId="0805C45B"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Gross Domestic Product</w:t>
            </w:r>
          </w:p>
        </w:tc>
      </w:tr>
      <w:tr w:rsidR="003A6D14" w:rsidRPr="0000255F" w14:paraId="61ECF4D9"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51F2E9C9" w14:textId="5589322D" w:rsidR="003A6D14" w:rsidRPr="0000255F" w:rsidRDefault="003A6D14" w:rsidP="0000255F">
            <w:pPr>
              <w:jc w:val="both"/>
              <w:rPr>
                <w:rFonts w:ascii="Times New Roman" w:hAnsi="Times New Roman" w:cs="Times New Roman"/>
                <w:sz w:val="24"/>
                <w:szCs w:val="24"/>
              </w:rPr>
            </w:pPr>
            <w:r>
              <w:rPr>
                <w:rFonts w:ascii="Times New Roman" w:hAnsi="Times New Roman" w:cs="Times New Roman"/>
                <w:sz w:val="24"/>
                <w:szCs w:val="24"/>
              </w:rPr>
              <w:t>ICT</w:t>
            </w:r>
          </w:p>
        </w:tc>
        <w:tc>
          <w:tcPr>
            <w:tcW w:w="7755" w:type="dxa"/>
          </w:tcPr>
          <w:p w14:paraId="6EFFAF17" w14:textId="5FA58167" w:rsidR="003A6D14" w:rsidRPr="0000255F" w:rsidRDefault="003A6D14"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Information, Communication and Technology </w:t>
            </w:r>
          </w:p>
        </w:tc>
      </w:tr>
      <w:tr w:rsidR="003A6D14" w:rsidRPr="0000255F" w14:paraId="46D98251"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0793303" w14:textId="3BD08439" w:rsidR="003A6D14" w:rsidRDefault="003A6D14" w:rsidP="0000255F">
            <w:pPr>
              <w:jc w:val="both"/>
              <w:rPr>
                <w:rFonts w:ascii="Times New Roman" w:hAnsi="Times New Roman" w:cs="Times New Roman"/>
                <w:sz w:val="24"/>
                <w:szCs w:val="24"/>
              </w:rPr>
            </w:pPr>
            <w:r>
              <w:rPr>
                <w:rFonts w:ascii="Times New Roman" w:hAnsi="Times New Roman" w:cs="Times New Roman"/>
                <w:sz w:val="24"/>
                <w:szCs w:val="24"/>
              </w:rPr>
              <w:t>ICTA</w:t>
            </w:r>
          </w:p>
        </w:tc>
        <w:tc>
          <w:tcPr>
            <w:tcW w:w="7755" w:type="dxa"/>
          </w:tcPr>
          <w:p w14:paraId="44A69CC8" w14:textId="06C411AE" w:rsidR="003A6D14" w:rsidRDefault="003A6D14"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Information, Communication and Technology</w:t>
            </w:r>
            <w:r w:rsidR="006E5FC7">
              <w:rPr>
                <w:rFonts w:ascii="Times New Roman" w:hAnsi="Times New Roman" w:cs="Times New Roman"/>
                <w:sz w:val="24"/>
                <w:szCs w:val="24"/>
              </w:rPr>
              <w:t xml:space="preserve"> Authority</w:t>
            </w:r>
          </w:p>
        </w:tc>
      </w:tr>
      <w:tr w:rsidR="00E40716" w:rsidRPr="0000255F" w14:paraId="24728138"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28130B89"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ILO</w:t>
            </w:r>
          </w:p>
        </w:tc>
        <w:tc>
          <w:tcPr>
            <w:tcW w:w="7755" w:type="dxa"/>
          </w:tcPr>
          <w:p w14:paraId="7DAE57FD"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International Labor Organization</w:t>
            </w:r>
          </w:p>
        </w:tc>
      </w:tr>
      <w:tr w:rsidR="003A6D14" w:rsidRPr="0000255F" w14:paraId="2E4234E7"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F2A9887" w14:textId="094079DE" w:rsidR="003A6D14" w:rsidRPr="0000255F" w:rsidRDefault="003A6D14" w:rsidP="0000255F">
            <w:pPr>
              <w:jc w:val="both"/>
              <w:rPr>
                <w:rFonts w:ascii="Times New Roman" w:hAnsi="Times New Roman" w:cs="Times New Roman"/>
                <w:sz w:val="24"/>
                <w:szCs w:val="24"/>
              </w:rPr>
            </w:pPr>
            <w:r>
              <w:rPr>
                <w:rFonts w:ascii="Times New Roman" w:hAnsi="Times New Roman" w:cs="Times New Roman"/>
                <w:sz w:val="24"/>
                <w:szCs w:val="24"/>
              </w:rPr>
              <w:t>IPV</w:t>
            </w:r>
          </w:p>
        </w:tc>
        <w:tc>
          <w:tcPr>
            <w:tcW w:w="7755" w:type="dxa"/>
          </w:tcPr>
          <w:p w14:paraId="402A350E" w14:textId="69823C73" w:rsidR="003A6D14" w:rsidRPr="0000255F" w:rsidRDefault="003A6D14"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Intimate Partner Violence</w:t>
            </w:r>
          </w:p>
        </w:tc>
      </w:tr>
      <w:tr w:rsidR="00E40716" w:rsidRPr="0000255F" w14:paraId="41B03CD8"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0A223778"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KII</w:t>
            </w:r>
          </w:p>
        </w:tc>
        <w:tc>
          <w:tcPr>
            <w:tcW w:w="7755" w:type="dxa"/>
          </w:tcPr>
          <w:p w14:paraId="5DB69CF5"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Key Informant Interviews</w:t>
            </w:r>
          </w:p>
        </w:tc>
      </w:tr>
      <w:tr w:rsidR="00E40716" w:rsidRPr="0000255F" w14:paraId="432CEA8D"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43192DE"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KNBS</w:t>
            </w:r>
          </w:p>
        </w:tc>
        <w:tc>
          <w:tcPr>
            <w:tcW w:w="7755" w:type="dxa"/>
          </w:tcPr>
          <w:p w14:paraId="1CDC1C0D"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Kenya National Bureau of Statistics</w:t>
            </w:r>
          </w:p>
        </w:tc>
      </w:tr>
      <w:tr w:rsidR="00C41FD8" w:rsidRPr="0000255F" w14:paraId="6D356871"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54225086" w14:textId="15D23921" w:rsidR="00C41FD8" w:rsidRPr="0000255F" w:rsidRDefault="00DD1767" w:rsidP="0000255F">
            <w:pPr>
              <w:jc w:val="both"/>
              <w:rPr>
                <w:rFonts w:ascii="Times New Roman" w:hAnsi="Times New Roman" w:cs="Times New Roman"/>
                <w:sz w:val="24"/>
                <w:szCs w:val="24"/>
              </w:rPr>
            </w:pPr>
            <w:r>
              <w:rPr>
                <w:rFonts w:ascii="Times New Roman" w:hAnsi="Times New Roman" w:cs="Times New Roman"/>
                <w:sz w:val="24"/>
                <w:szCs w:val="24"/>
              </w:rPr>
              <w:t>KDEAP</w:t>
            </w:r>
          </w:p>
        </w:tc>
        <w:tc>
          <w:tcPr>
            <w:tcW w:w="7755" w:type="dxa"/>
          </w:tcPr>
          <w:p w14:paraId="4377FD18" w14:textId="15B43C5F" w:rsidR="00C41FD8" w:rsidRPr="0000255F" w:rsidRDefault="00DD1767"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Kenya Digital Economy Acceleration Project </w:t>
            </w:r>
          </w:p>
        </w:tc>
      </w:tr>
      <w:tr w:rsidR="00E40716" w:rsidRPr="0000255F" w14:paraId="2E1D3B30"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28FDA56"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LMP</w:t>
            </w:r>
          </w:p>
        </w:tc>
        <w:tc>
          <w:tcPr>
            <w:tcW w:w="7755" w:type="dxa"/>
          </w:tcPr>
          <w:p w14:paraId="33B7D2C2"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Labor-Management Procedures</w:t>
            </w:r>
          </w:p>
        </w:tc>
      </w:tr>
      <w:tr w:rsidR="005E52E1" w:rsidRPr="0000255F" w14:paraId="5F240727"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086254A5" w14:textId="056C2FA5" w:rsidR="005E52E1" w:rsidRPr="0000255F" w:rsidRDefault="005E52E1" w:rsidP="0000255F">
            <w:pPr>
              <w:jc w:val="both"/>
              <w:rPr>
                <w:rFonts w:ascii="Times New Roman" w:hAnsi="Times New Roman" w:cs="Times New Roman"/>
                <w:sz w:val="24"/>
                <w:szCs w:val="24"/>
              </w:rPr>
            </w:pPr>
            <w:r>
              <w:rPr>
                <w:rFonts w:ascii="Times New Roman" w:hAnsi="Times New Roman" w:cs="Times New Roman"/>
                <w:sz w:val="24"/>
                <w:szCs w:val="24"/>
              </w:rPr>
              <w:t>LSK</w:t>
            </w:r>
          </w:p>
        </w:tc>
        <w:tc>
          <w:tcPr>
            <w:tcW w:w="7755" w:type="dxa"/>
          </w:tcPr>
          <w:p w14:paraId="3F55F1A4" w14:textId="0C0669C8" w:rsidR="005E52E1" w:rsidRPr="0000255F" w:rsidRDefault="005E52E1"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Law Society of Kenya</w:t>
            </w:r>
          </w:p>
        </w:tc>
      </w:tr>
      <w:tr w:rsidR="00C41FD8" w:rsidRPr="0000255F" w14:paraId="367E88DF"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062BDE4" w14:textId="4190BACF" w:rsidR="00C41FD8" w:rsidRPr="0000255F" w:rsidRDefault="00C41FD8" w:rsidP="0000255F">
            <w:pPr>
              <w:jc w:val="both"/>
              <w:rPr>
                <w:rFonts w:ascii="Times New Roman" w:hAnsi="Times New Roman" w:cs="Times New Roman"/>
                <w:sz w:val="24"/>
                <w:szCs w:val="24"/>
              </w:rPr>
            </w:pPr>
            <w:r>
              <w:rPr>
                <w:rFonts w:ascii="Times New Roman" w:hAnsi="Times New Roman" w:cs="Times New Roman"/>
                <w:sz w:val="24"/>
                <w:szCs w:val="24"/>
              </w:rPr>
              <w:t>MICDE</w:t>
            </w:r>
          </w:p>
        </w:tc>
        <w:tc>
          <w:tcPr>
            <w:tcW w:w="7755" w:type="dxa"/>
          </w:tcPr>
          <w:p w14:paraId="371B89B4" w14:textId="73CE7DB7" w:rsidR="00C41FD8" w:rsidRPr="0000255F" w:rsidRDefault="00C41FD8"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Ministry of Information Communication Technology and Digital Economy </w:t>
            </w:r>
          </w:p>
        </w:tc>
      </w:tr>
      <w:tr w:rsidR="003336C1" w:rsidRPr="0000255F" w14:paraId="0F7DF849"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4A0AD1D0" w14:textId="0FB1BFF1" w:rsidR="003336C1" w:rsidRDefault="003336C1" w:rsidP="0000255F">
            <w:pPr>
              <w:jc w:val="both"/>
              <w:rPr>
                <w:rFonts w:ascii="Times New Roman" w:hAnsi="Times New Roman" w:cs="Times New Roman"/>
                <w:sz w:val="24"/>
                <w:szCs w:val="24"/>
              </w:rPr>
            </w:pPr>
            <w:r w:rsidRPr="00C9049F">
              <w:rPr>
                <w:rFonts w:ascii="Times New Roman" w:hAnsi="Times New Roman" w:cs="Times New Roman"/>
                <w:sz w:val="24"/>
                <w:szCs w:val="24"/>
              </w:rPr>
              <w:t>MPA</w:t>
            </w:r>
          </w:p>
        </w:tc>
        <w:tc>
          <w:tcPr>
            <w:tcW w:w="7755" w:type="dxa"/>
          </w:tcPr>
          <w:p w14:paraId="1C1FEAC3" w14:textId="311D323B" w:rsidR="003336C1" w:rsidRDefault="003336C1"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49F">
              <w:rPr>
                <w:rFonts w:ascii="Times New Roman" w:hAnsi="Times New Roman" w:cs="Times New Roman"/>
                <w:sz w:val="24"/>
                <w:szCs w:val="24"/>
              </w:rPr>
              <w:t xml:space="preserve">Multiphase Programmatic Approach </w:t>
            </w:r>
          </w:p>
        </w:tc>
      </w:tr>
      <w:tr w:rsidR="00B47937" w:rsidRPr="0000255F" w14:paraId="74FB86E2"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4FCA0E5" w14:textId="718C6B66" w:rsidR="00B47937" w:rsidRPr="00C9049F" w:rsidRDefault="00B47937" w:rsidP="0000255F">
            <w:pPr>
              <w:jc w:val="both"/>
              <w:rPr>
                <w:rFonts w:ascii="Times New Roman" w:hAnsi="Times New Roman" w:cs="Times New Roman"/>
                <w:sz w:val="24"/>
                <w:szCs w:val="24"/>
              </w:rPr>
            </w:pPr>
            <w:r w:rsidRPr="0000255F">
              <w:rPr>
                <w:rFonts w:ascii="Times New Roman" w:hAnsi="Times New Roman" w:cs="Times New Roman"/>
                <w:sz w:val="24"/>
                <w:szCs w:val="24"/>
              </w:rPr>
              <w:t>NALEAP</w:t>
            </w:r>
          </w:p>
        </w:tc>
        <w:tc>
          <w:tcPr>
            <w:tcW w:w="7755" w:type="dxa"/>
          </w:tcPr>
          <w:p w14:paraId="5AB53693" w14:textId="5CCE3B9F" w:rsidR="00B47937" w:rsidRPr="00C9049F" w:rsidRDefault="00B47937"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National Legal Aid Service</w:t>
            </w:r>
          </w:p>
        </w:tc>
      </w:tr>
      <w:tr w:rsidR="003A6D14" w:rsidRPr="0000255F" w14:paraId="63116338"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76C9E569"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NGEC</w:t>
            </w:r>
          </w:p>
        </w:tc>
        <w:tc>
          <w:tcPr>
            <w:tcW w:w="7755" w:type="dxa"/>
          </w:tcPr>
          <w:p w14:paraId="3A72D991"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National Gender and Equality Commission</w:t>
            </w:r>
          </w:p>
        </w:tc>
      </w:tr>
      <w:tr w:rsidR="003A6D14" w:rsidRPr="0000255F" w14:paraId="72B51A25"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D18497D"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NT</w:t>
            </w:r>
          </w:p>
        </w:tc>
        <w:tc>
          <w:tcPr>
            <w:tcW w:w="7755" w:type="dxa"/>
          </w:tcPr>
          <w:p w14:paraId="17C81AB4"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National Treasury</w:t>
            </w:r>
          </w:p>
        </w:tc>
      </w:tr>
      <w:tr w:rsidR="006E5FC7" w:rsidRPr="0000255F" w14:paraId="0A075FAE"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50E54661" w14:textId="79BBE85E" w:rsidR="006E5FC7" w:rsidRPr="0000255F" w:rsidRDefault="006E5FC7" w:rsidP="0000255F">
            <w:pPr>
              <w:jc w:val="both"/>
              <w:rPr>
                <w:rFonts w:ascii="Times New Roman" w:hAnsi="Times New Roman" w:cs="Times New Roman"/>
                <w:sz w:val="24"/>
                <w:szCs w:val="24"/>
              </w:rPr>
            </w:pPr>
            <w:r>
              <w:rPr>
                <w:rFonts w:ascii="Times New Roman" w:hAnsi="Times New Roman" w:cs="Times New Roman"/>
                <w:sz w:val="24"/>
                <w:szCs w:val="24"/>
              </w:rPr>
              <w:t>M&amp;E</w:t>
            </w:r>
          </w:p>
        </w:tc>
        <w:tc>
          <w:tcPr>
            <w:tcW w:w="7755" w:type="dxa"/>
          </w:tcPr>
          <w:p w14:paraId="06C9E29D" w14:textId="181DF2FD" w:rsidR="006E5FC7" w:rsidRPr="0000255F" w:rsidRDefault="006E5FC7"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Monitoring and Evaluation</w:t>
            </w:r>
          </w:p>
        </w:tc>
      </w:tr>
      <w:tr w:rsidR="001E13D0" w:rsidRPr="0000255F" w14:paraId="56FD5B62"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76A2A13" w14:textId="55E91562" w:rsidR="001E13D0" w:rsidRPr="0000255F" w:rsidRDefault="001E13D0" w:rsidP="0000255F">
            <w:pPr>
              <w:jc w:val="both"/>
              <w:rPr>
                <w:rFonts w:ascii="Times New Roman" w:hAnsi="Times New Roman" w:cs="Times New Roman"/>
                <w:sz w:val="24"/>
                <w:szCs w:val="24"/>
              </w:rPr>
            </w:pPr>
            <w:r w:rsidRPr="00C9049F">
              <w:rPr>
                <w:rFonts w:ascii="Times New Roman" w:hAnsi="Times New Roman" w:cs="Times New Roman"/>
                <w:sz w:val="24"/>
                <w:szCs w:val="24"/>
              </w:rPr>
              <w:t>ODPC</w:t>
            </w:r>
          </w:p>
        </w:tc>
        <w:tc>
          <w:tcPr>
            <w:tcW w:w="7755" w:type="dxa"/>
          </w:tcPr>
          <w:p w14:paraId="5EDCC84F" w14:textId="01D7FF89" w:rsidR="001E13D0" w:rsidRPr="0000255F" w:rsidRDefault="001E13D0"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49F">
              <w:rPr>
                <w:rFonts w:ascii="Times New Roman" w:hAnsi="Times New Roman" w:cs="Times New Roman"/>
                <w:sz w:val="24"/>
                <w:szCs w:val="24"/>
              </w:rPr>
              <w:t>Office of Data Protection Commissioner</w:t>
            </w:r>
          </w:p>
        </w:tc>
      </w:tr>
      <w:tr w:rsidR="003A6D14" w:rsidRPr="0000255F" w14:paraId="1D096909"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28B8E478"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OHS</w:t>
            </w:r>
          </w:p>
        </w:tc>
        <w:tc>
          <w:tcPr>
            <w:tcW w:w="7755" w:type="dxa"/>
          </w:tcPr>
          <w:p w14:paraId="5821A024"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Occupational Health and Safety</w:t>
            </w:r>
          </w:p>
        </w:tc>
      </w:tr>
      <w:tr w:rsidR="003A6D14" w:rsidRPr="0000255F" w14:paraId="3672F990"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D0F3D96" w14:textId="6480DFD1"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P</w:t>
            </w:r>
            <w:r w:rsidR="00DD1767">
              <w:rPr>
                <w:rFonts w:ascii="Times New Roman" w:hAnsi="Times New Roman" w:cs="Times New Roman"/>
                <w:sz w:val="24"/>
                <w:szCs w:val="24"/>
              </w:rPr>
              <w:t>IU</w:t>
            </w:r>
          </w:p>
        </w:tc>
        <w:tc>
          <w:tcPr>
            <w:tcW w:w="7755" w:type="dxa"/>
          </w:tcPr>
          <w:p w14:paraId="1CBA69A1" w14:textId="0C5B8CD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 xml:space="preserve">Project </w:t>
            </w:r>
            <w:r w:rsidR="00DD1767">
              <w:rPr>
                <w:rFonts w:ascii="Times New Roman" w:hAnsi="Times New Roman" w:cs="Times New Roman"/>
                <w:sz w:val="24"/>
                <w:szCs w:val="24"/>
              </w:rPr>
              <w:t xml:space="preserve">Implementation Unit </w:t>
            </w:r>
          </w:p>
        </w:tc>
      </w:tr>
      <w:tr w:rsidR="00672A7B" w:rsidRPr="0000255F" w14:paraId="4A25CC0D"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164442D8" w14:textId="6DE17A75" w:rsidR="00672A7B" w:rsidRPr="0000255F" w:rsidRDefault="00672A7B" w:rsidP="0000255F">
            <w:pPr>
              <w:jc w:val="both"/>
              <w:rPr>
                <w:rFonts w:ascii="Times New Roman" w:hAnsi="Times New Roman" w:cs="Times New Roman"/>
                <w:sz w:val="24"/>
                <w:szCs w:val="24"/>
              </w:rPr>
            </w:pPr>
            <w:r w:rsidRPr="00C9049F">
              <w:rPr>
                <w:rFonts w:ascii="Times New Roman" w:hAnsi="Times New Roman" w:cs="Times New Roman"/>
                <w:sz w:val="24"/>
                <w:szCs w:val="24"/>
              </w:rPr>
              <w:t>PIM</w:t>
            </w:r>
          </w:p>
        </w:tc>
        <w:tc>
          <w:tcPr>
            <w:tcW w:w="7755" w:type="dxa"/>
          </w:tcPr>
          <w:p w14:paraId="53C510E4" w14:textId="4D767367" w:rsidR="00672A7B" w:rsidRPr="0000255F" w:rsidRDefault="00F438EE"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r w:rsidR="00672A7B" w:rsidRPr="00C9049F">
              <w:rPr>
                <w:rFonts w:ascii="Times New Roman" w:hAnsi="Times New Roman" w:cs="Times New Roman"/>
                <w:sz w:val="24"/>
                <w:szCs w:val="24"/>
              </w:rPr>
              <w:t xml:space="preserve">roject </w:t>
            </w:r>
            <w:r>
              <w:rPr>
                <w:rFonts w:ascii="Times New Roman" w:hAnsi="Times New Roman" w:cs="Times New Roman"/>
                <w:sz w:val="24"/>
                <w:szCs w:val="24"/>
              </w:rPr>
              <w:t>I</w:t>
            </w:r>
            <w:r w:rsidR="00672A7B" w:rsidRPr="00C9049F">
              <w:rPr>
                <w:rFonts w:ascii="Times New Roman" w:hAnsi="Times New Roman" w:cs="Times New Roman"/>
                <w:sz w:val="24"/>
                <w:szCs w:val="24"/>
              </w:rPr>
              <w:t xml:space="preserve">mplementation </w:t>
            </w:r>
            <w:r>
              <w:rPr>
                <w:rFonts w:ascii="Times New Roman" w:hAnsi="Times New Roman" w:cs="Times New Roman"/>
                <w:sz w:val="24"/>
                <w:szCs w:val="24"/>
              </w:rPr>
              <w:t>M</w:t>
            </w:r>
            <w:r w:rsidR="00672A7B" w:rsidRPr="00C9049F">
              <w:rPr>
                <w:rFonts w:ascii="Times New Roman" w:hAnsi="Times New Roman" w:cs="Times New Roman"/>
                <w:sz w:val="24"/>
                <w:szCs w:val="24"/>
              </w:rPr>
              <w:t>anual</w:t>
            </w:r>
          </w:p>
        </w:tc>
      </w:tr>
      <w:tr w:rsidR="00672A7B" w:rsidRPr="0000255F" w14:paraId="5DE1C3B2"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DC68C3F"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PwDs</w:t>
            </w:r>
          </w:p>
        </w:tc>
        <w:tc>
          <w:tcPr>
            <w:tcW w:w="7755" w:type="dxa"/>
          </w:tcPr>
          <w:p w14:paraId="54FF36AF"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Persons With Disabilities</w:t>
            </w:r>
          </w:p>
        </w:tc>
      </w:tr>
      <w:tr w:rsidR="001E13D0" w:rsidRPr="0000255F" w14:paraId="79702263"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138062AF"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SEA/SH</w:t>
            </w:r>
          </w:p>
        </w:tc>
        <w:tc>
          <w:tcPr>
            <w:tcW w:w="7755" w:type="dxa"/>
          </w:tcPr>
          <w:p w14:paraId="3F56A120"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Sexual Exploitation and Abuse/Sexual Harassment</w:t>
            </w:r>
          </w:p>
        </w:tc>
      </w:tr>
      <w:tr w:rsidR="001E13D0" w:rsidRPr="0000255F" w14:paraId="49166F98"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DE42108"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SEP</w:t>
            </w:r>
          </w:p>
        </w:tc>
        <w:tc>
          <w:tcPr>
            <w:tcW w:w="7755" w:type="dxa"/>
          </w:tcPr>
          <w:p w14:paraId="13D40D7F"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Stakeholder Engagement Plan</w:t>
            </w:r>
          </w:p>
        </w:tc>
      </w:tr>
      <w:tr w:rsidR="006E5FC7" w:rsidRPr="0000255F" w14:paraId="2D3278B7"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0C5E2F18" w14:textId="26769966" w:rsidR="006E5FC7" w:rsidRPr="0000255F" w:rsidRDefault="006E5FC7" w:rsidP="0000255F">
            <w:pPr>
              <w:jc w:val="both"/>
              <w:rPr>
                <w:rFonts w:ascii="Times New Roman" w:hAnsi="Times New Roman" w:cs="Times New Roman"/>
                <w:sz w:val="24"/>
                <w:szCs w:val="24"/>
              </w:rPr>
            </w:pPr>
            <w:r>
              <w:rPr>
                <w:rFonts w:ascii="Times New Roman" w:hAnsi="Times New Roman" w:cs="Times New Roman"/>
                <w:sz w:val="24"/>
                <w:szCs w:val="24"/>
              </w:rPr>
              <w:t>SGBV</w:t>
            </w:r>
          </w:p>
        </w:tc>
        <w:tc>
          <w:tcPr>
            <w:tcW w:w="7755" w:type="dxa"/>
          </w:tcPr>
          <w:p w14:paraId="14416E55" w14:textId="74612952" w:rsidR="006E5FC7" w:rsidRPr="0000255F" w:rsidRDefault="006E5FC7"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Sexual</w:t>
            </w:r>
            <w:r w:rsidR="00FB01D5">
              <w:rPr>
                <w:rFonts w:ascii="Times New Roman" w:hAnsi="Times New Roman" w:cs="Times New Roman"/>
                <w:sz w:val="24"/>
                <w:szCs w:val="24"/>
              </w:rPr>
              <w:t xml:space="preserve"> and </w:t>
            </w:r>
            <w:r w:rsidR="00E71C48">
              <w:rPr>
                <w:rFonts w:ascii="Times New Roman" w:hAnsi="Times New Roman" w:cs="Times New Roman"/>
                <w:sz w:val="24"/>
                <w:szCs w:val="24"/>
              </w:rPr>
              <w:t>Gender</w:t>
            </w:r>
            <w:r w:rsidR="00FB01D5">
              <w:rPr>
                <w:rFonts w:ascii="Times New Roman" w:hAnsi="Times New Roman" w:cs="Times New Roman"/>
                <w:sz w:val="24"/>
                <w:szCs w:val="24"/>
              </w:rPr>
              <w:t xml:space="preserve"> Based Violence </w:t>
            </w:r>
          </w:p>
        </w:tc>
      </w:tr>
      <w:tr w:rsidR="006E5FC7" w:rsidRPr="0000255F" w14:paraId="76272627"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D6FE044" w14:textId="414A4DA5" w:rsidR="006E5FC7" w:rsidRPr="0000255F" w:rsidRDefault="006E5FC7" w:rsidP="0000255F">
            <w:pPr>
              <w:jc w:val="both"/>
              <w:rPr>
                <w:rFonts w:ascii="Times New Roman" w:hAnsi="Times New Roman" w:cs="Times New Roman"/>
                <w:sz w:val="24"/>
                <w:szCs w:val="24"/>
              </w:rPr>
            </w:pPr>
            <w:r>
              <w:rPr>
                <w:rFonts w:ascii="Times New Roman" w:hAnsi="Times New Roman" w:cs="Times New Roman"/>
                <w:sz w:val="24"/>
                <w:szCs w:val="24"/>
              </w:rPr>
              <w:t>TA</w:t>
            </w:r>
          </w:p>
        </w:tc>
        <w:tc>
          <w:tcPr>
            <w:tcW w:w="7755" w:type="dxa"/>
          </w:tcPr>
          <w:p w14:paraId="27FB7E40" w14:textId="0603F8C6" w:rsidR="006E5FC7" w:rsidRPr="0000255F" w:rsidRDefault="006E5FC7"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Technical </w:t>
            </w:r>
            <w:r w:rsidR="00E71C48">
              <w:rPr>
                <w:rFonts w:ascii="Times New Roman" w:hAnsi="Times New Roman" w:cs="Times New Roman"/>
                <w:sz w:val="24"/>
                <w:szCs w:val="24"/>
              </w:rPr>
              <w:t>Assistance</w:t>
            </w:r>
          </w:p>
        </w:tc>
      </w:tr>
      <w:tr w:rsidR="001E13D0" w:rsidRPr="0000255F" w14:paraId="05352034"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688E9106" w14:textId="4AC436D8" w:rsidR="001E13D0" w:rsidRPr="0000255F" w:rsidRDefault="001E13D0" w:rsidP="0000255F">
            <w:pPr>
              <w:jc w:val="both"/>
              <w:rPr>
                <w:rFonts w:ascii="Times New Roman" w:hAnsi="Times New Roman" w:cs="Times New Roman"/>
                <w:sz w:val="24"/>
                <w:szCs w:val="24"/>
              </w:rPr>
            </w:pPr>
            <w:r w:rsidRPr="00C9049F">
              <w:rPr>
                <w:rFonts w:ascii="Times New Roman" w:hAnsi="Times New Roman" w:cs="Times New Roman"/>
                <w:sz w:val="24"/>
                <w:szCs w:val="24"/>
              </w:rPr>
              <w:t>TVET</w:t>
            </w:r>
          </w:p>
        </w:tc>
        <w:tc>
          <w:tcPr>
            <w:tcW w:w="7755" w:type="dxa"/>
          </w:tcPr>
          <w:p w14:paraId="405E8585" w14:textId="1491D0A2" w:rsidR="001E13D0" w:rsidRPr="0000255F" w:rsidRDefault="001E13D0"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Training and Vocational Education and Training</w:t>
            </w:r>
          </w:p>
        </w:tc>
      </w:tr>
      <w:tr w:rsidR="001E13D0" w:rsidRPr="0000255F" w14:paraId="6B262D3B"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CC3E55E"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OSHA</w:t>
            </w:r>
          </w:p>
        </w:tc>
        <w:tc>
          <w:tcPr>
            <w:tcW w:w="7755" w:type="dxa"/>
          </w:tcPr>
          <w:p w14:paraId="02434E79"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Occupational Health and Safety Act</w:t>
            </w:r>
          </w:p>
        </w:tc>
      </w:tr>
      <w:tr w:rsidR="003A6D14" w:rsidRPr="0000255F" w14:paraId="7A8AE3C8"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6A5BB205" w14:textId="74064376" w:rsidR="003A6D14" w:rsidRPr="0000255F" w:rsidRDefault="003A6D14" w:rsidP="0000255F">
            <w:pPr>
              <w:jc w:val="both"/>
              <w:rPr>
                <w:rFonts w:ascii="Times New Roman" w:hAnsi="Times New Roman" w:cs="Times New Roman"/>
                <w:sz w:val="24"/>
                <w:szCs w:val="24"/>
              </w:rPr>
            </w:pPr>
            <w:r>
              <w:rPr>
                <w:rFonts w:ascii="Times New Roman" w:hAnsi="Times New Roman" w:cs="Times New Roman"/>
                <w:sz w:val="24"/>
                <w:szCs w:val="24"/>
              </w:rPr>
              <w:t>WB</w:t>
            </w:r>
          </w:p>
        </w:tc>
        <w:tc>
          <w:tcPr>
            <w:tcW w:w="7755" w:type="dxa"/>
          </w:tcPr>
          <w:p w14:paraId="5AC96094" w14:textId="415B09EE" w:rsidR="003A6D14" w:rsidRPr="0000255F" w:rsidRDefault="003A6D14"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World Bank</w:t>
            </w:r>
          </w:p>
        </w:tc>
      </w:tr>
      <w:tr w:rsidR="001E13D0" w:rsidRPr="0000255F" w14:paraId="12F4A9CE" w14:textId="77777777" w:rsidTr="00663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2A20FE5"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WHO</w:t>
            </w:r>
          </w:p>
        </w:tc>
        <w:tc>
          <w:tcPr>
            <w:tcW w:w="7755" w:type="dxa"/>
          </w:tcPr>
          <w:p w14:paraId="0E489E7C" w14:textId="77777777" w:rsidR="00E40716" w:rsidRPr="0000255F" w:rsidRDefault="00E40716" w:rsidP="000025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World Health Organization</w:t>
            </w:r>
          </w:p>
        </w:tc>
      </w:tr>
      <w:tr w:rsidR="001E13D0" w:rsidRPr="0000255F" w14:paraId="2DF79772" w14:textId="77777777" w:rsidTr="00663B5F">
        <w:tc>
          <w:tcPr>
            <w:cnfStyle w:val="001000000000" w:firstRow="0" w:lastRow="0" w:firstColumn="1" w:lastColumn="0" w:oddVBand="0" w:evenVBand="0" w:oddHBand="0" w:evenHBand="0" w:firstRowFirstColumn="0" w:firstRowLastColumn="0" w:lastRowFirstColumn="0" w:lastRowLastColumn="0"/>
            <w:tcW w:w="1255" w:type="dxa"/>
          </w:tcPr>
          <w:p w14:paraId="4F230480" w14:textId="77777777" w:rsidR="00E40716" w:rsidRPr="0000255F" w:rsidRDefault="00E40716" w:rsidP="0000255F">
            <w:pPr>
              <w:jc w:val="both"/>
              <w:rPr>
                <w:rFonts w:ascii="Times New Roman" w:hAnsi="Times New Roman" w:cs="Times New Roman"/>
                <w:sz w:val="24"/>
                <w:szCs w:val="24"/>
              </w:rPr>
            </w:pPr>
            <w:r w:rsidRPr="0000255F">
              <w:rPr>
                <w:rFonts w:ascii="Times New Roman" w:hAnsi="Times New Roman" w:cs="Times New Roman"/>
                <w:sz w:val="24"/>
                <w:szCs w:val="24"/>
              </w:rPr>
              <w:t>WIBA</w:t>
            </w:r>
          </w:p>
        </w:tc>
        <w:tc>
          <w:tcPr>
            <w:tcW w:w="7755" w:type="dxa"/>
          </w:tcPr>
          <w:p w14:paraId="0D7072FA" w14:textId="77777777" w:rsidR="00E40716" w:rsidRPr="0000255F" w:rsidRDefault="00E40716" w:rsidP="00002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5F">
              <w:rPr>
                <w:rFonts w:ascii="Times New Roman" w:hAnsi="Times New Roman" w:cs="Times New Roman"/>
                <w:sz w:val="24"/>
                <w:szCs w:val="24"/>
              </w:rPr>
              <w:t>Work Injury Benefits Act</w:t>
            </w:r>
          </w:p>
        </w:tc>
      </w:tr>
    </w:tbl>
    <w:p w14:paraId="0E79B3DA" w14:textId="77777777" w:rsidR="00E40716" w:rsidRPr="0000255F" w:rsidRDefault="00E40716" w:rsidP="0000255F">
      <w:pPr>
        <w:spacing w:after="0" w:line="240" w:lineRule="auto"/>
        <w:ind w:left="1440" w:hanging="1440"/>
        <w:jc w:val="both"/>
        <w:rPr>
          <w:rFonts w:ascii="Times New Roman" w:hAnsi="Times New Roman" w:cs="Times New Roman"/>
          <w:sz w:val="24"/>
          <w:szCs w:val="24"/>
        </w:rPr>
      </w:pPr>
    </w:p>
    <w:p w14:paraId="6DF577F3" w14:textId="77777777" w:rsidR="00E40716" w:rsidRPr="0000255F" w:rsidRDefault="00E40716" w:rsidP="0000255F">
      <w:pPr>
        <w:spacing w:after="0" w:line="240" w:lineRule="auto"/>
        <w:jc w:val="both"/>
        <w:rPr>
          <w:rFonts w:ascii="Times New Roman" w:hAnsi="Times New Roman" w:cs="Times New Roman"/>
          <w:b/>
          <w:sz w:val="24"/>
          <w:szCs w:val="24"/>
        </w:rPr>
      </w:pPr>
    </w:p>
    <w:p w14:paraId="672968D6" w14:textId="77777777" w:rsidR="00C861F4" w:rsidRDefault="00C861F4">
      <w:pPr>
        <w:rPr>
          <w:rFonts w:ascii="Bookman Old Style" w:eastAsiaTheme="majorEastAsia" w:hAnsi="Bookman Old Style" w:cstheme="majorBidi"/>
          <w:b/>
          <w:bCs/>
          <w:color w:val="2F5496" w:themeColor="accent1" w:themeShade="BF"/>
          <w:sz w:val="24"/>
          <w:szCs w:val="24"/>
          <w:lang w:val="en-GB"/>
        </w:rPr>
      </w:pPr>
      <w:bookmarkStart w:id="0" w:name="_Toc126321061"/>
      <w:r>
        <w:rPr>
          <w:rFonts w:ascii="Bookman Old Style" w:eastAsiaTheme="majorEastAsia" w:hAnsi="Bookman Old Style" w:cstheme="majorBidi"/>
          <w:b/>
          <w:bCs/>
          <w:color w:val="2F5496" w:themeColor="accent1" w:themeShade="BF"/>
          <w:sz w:val="24"/>
          <w:szCs w:val="24"/>
          <w:lang w:val="en-GB"/>
        </w:rPr>
        <w:br w:type="page"/>
      </w:r>
    </w:p>
    <w:bookmarkEnd w:id="0"/>
    <w:p w14:paraId="60BCDC66" w14:textId="77777777" w:rsidR="0000255F" w:rsidRPr="0000255F" w:rsidRDefault="0000255F" w:rsidP="0000255F">
      <w:pPr>
        <w:spacing w:after="0" w:line="240" w:lineRule="auto"/>
        <w:jc w:val="both"/>
        <w:rPr>
          <w:rFonts w:ascii="Times New Roman" w:hAnsi="Times New Roman" w:cs="Times New Roman"/>
          <w:b/>
          <w:sz w:val="24"/>
          <w:szCs w:val="24"/>
        </w:rPr>
        <w:sectPr w:rsidR="0000255F" w:rsidRPr="0000255F" w:rsidSect="0000255F">
          <w:pgSz w:w="11900" w:h="16840" w:code="9"/>
          <w:pgMar w:top="1440" w:right="1440" w:bottom="1440" w:left="1440" w:header="720" w:footer="720" w:gutter="0"/>
          <w:cols w:space="720"/>
          <w:docGrid w:linePitch="360"/>
        </w:sectPr>
      </w:pPr>
    </w:p>
    <w:p w14:paraId="4CDBE0C3" w14:textId="77777777" w:rsidR="002B585F" w:rsidRDefault="002B585F" w:rsidP="0000255F">
      <w:pPr>
        <w:spacing w:after="0" w:line="240" w:lineRule="auto"/>
        <w:jc w:val="both"/>
        <w:rPr>
          <w:rFonts w:ascii="Times New Roman" w:hAnsi="Times New Roman" w:cs="Times New Roman"/>
          <w:b/>
          <w:sz w:val="24"/>
          <w:szCs w:val="24"/>
        </w:rPr>
      </w:pPr>
    </w:p>
    <w:p w14:paraId="34ECC940" w14:textId="7461B4FF" w:rsidR="00E40716" w:rsidRPr="0000255F"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b/>
          <w:sz w:val="24"/>
          <w:szCs w:val="24"/>
        </w:rPr>
        <w:t>Definition</w:t>
      </w:r>
      <w:r w:rsidR="002B585F">
        <w:rPr>
          <w:rFonts w:ascii="Times New Roman" w:hAnsi="Times New Roman" w:cs="Times New Roman"/>
          <w:b/>
          <w:sz w:val="24"/>
          <w:szCs w:val="24"/>
        </w:rPr>
        <w:t>s</w:t>
      </w:r>
    </w:p>
    <w:p w14:paraId="7AF17DCE" w14:textId="77777777" w:rsidR="00E40716" w:rsidRPr="0000255F" w:rsidRDefault="00E40716" w:rsidP="0000255F">
      <w:pPr>
        <w:spacing w:after="0" w:line="240" w:lineRule="auto"/>
        <w:jc w:val="both"/>
        <w:rPr>
          <w:rFonts w:ascii="Times New Roman" w:hAnsi="Times New Roman" w:cs="Times New Roman"/>
          <w:sz w:val="24"/>
          <w:szCs w:val="24"/>
        </w:rPr>
      </w:pPr>
    </w:p>
    <w:p w14:paraId="355CB6A2" w14:textId="45179372" w:rsidR="002A4170" w:rsidRDefault="002A4170" w:rsidP="0000255F">
      <w:pPr>
        <w:spacing w:after="0" w:line="240" w:lineRule="auto"/>
        <w:jc w:val="both"/>
        <w:rPr>
          <w:rFonts w:ascii="Times New Roman" w:hAnsi="Times New Roman" w:cs="Times New Roman"/>
          <w:sz w:val="24"/>
          <w:szCs w:val="24"/>
        </w:rPr>
      </w:pPr>
      <w:r w:rsidRPr="002A4170">
        <w:rPr>
          <w:rFonts w:ascii="Times New Roman" w:hAnsi="Times New Roman" w:cs="Times New Roman"/>
          <w:sz w:val="24"/>
          <w:szCs w:val="24"/>
        </w:rPr>
        <w:t xml:space="preserve">SEA/SH Prevention and Response Action Plan </w:t>
      </w:r>
      <w:r>
        <w:rPr>
          <w:rFonts w:ascii="Times New Roman" w:hAnsi="Times New Roman" w:cs="Times New Roman"/>
          <w:sz w:val="24"/>
          <w:szCs w:val="24"/>
        </w:rPr>
        <w:t>is a d</w:t>
      </w:r>
      <w:r w:rsidRPr="002A4170">
        <w:rPr>
          <w:rFonts w:ascii="Times New Roman" w:hAnsi="Times New Roman" w:cs="Times New Roman"/>
          <w:sz w:val="24"/>
          <w:szCs w:val="24"/>
        </w:rPr>
        <w:t>ocument which outlines how the project will put in place the necessary protocols and mechanisms to address SEA/SH risks; and how to address any SEA/SH allegations that may arise. This is the new name for the GBV Action Plan, as used in the original (2018) version of this note. The SEA/SH Prevention and Response Action Plan should include an Accountability and Response Framework, which details how allegations of SEA/SH will be handled (investigation procedures) and disciplinary action for violation of the Code of Conduct (CoC) by workers</w:t>
      </w:r>
    </w:p>
    <w:p w14:paraId="1D58F4CB" w14:textId="77777777" w:rsidR="002A4170" w:rsidRDefault="002A4170" w:rsidP="0000255F">
      <w:pPr>
        <w:spacing w:after="0" w:line="240" w:lineRule="auto"/>
        <w:jc w:val="both"/>
        <w:rPr>
          <w:rFonts w:ascii="Times New Roman" w:hAnsi="Times New Roman" w:cs="Times New Roman"/>
          <w:sz w:val="24"/>
          <w:szCs w:val="24"/>
        </w:rPr>
      </w:pPr>
    </w:p>
    <w:p w14:paraId="3209DA6D" w14:textId="40D74403" w:rsidR="00B05148" w:rsidRDefault="00F06F69" w:rsidP="0000255F">
      <w:pPr>
        <w:spacing w:after="0" w:line="240" w:lineRule="auto"/>
        <w:jc w:val="both"/>
        <w:rPr>
          <w:rFonts w:ascii="Times New Roman" w:hAnsi="Times New Roman" w:cs="Times New Roman"/>
          <w:sz w:val="24"/>
          <w:szCs w:val="24"/>
        </w:rPr>
      </w:pPr>
      <w:r w:rsidRPr="00F06F69">
        <w:rPr>
          <w:rFonts w:ascii="Times New Roman" w:hAnsi="Times New Roman" w:cs="Times New Roman"/>
          <w:sz w:val="24"/>
          <w:szCs w:val="24"/>
        </w:rPr>
        <w:t>Gender</w:t>
      </w:r>
      <w:r>
        <w:rPr>
          <w:rFonts w:ascii="Times New Roman" w:hAnsi="Times New Roman" w:cs="Times New Roman"/>
          <w:sz w:val="24"/>
          <w:szCs w:val="24"/>
        </w:rPr>
        <w:t xml:space="preserve"> b</w:t>
      </w:r>
      <w:r w:rsidRPr="00F06F69">
        <w:rPr>
          <w:rFonts w:ascii="Times New Roman" w:hAnsi="Times New Roman" w:cs="Times New Roman"/>
          <w:sz w:val="24"/>
          <w:szCs w:val="24"/>
        </w:rPr>
        <w:t>ased</w:t>
      </w:r>
      <w:r>
        <w:rPr>
          <w:rFonts w:ascii="Times New Roman" w:hAnsi="Times New Roman" w:cs="Times New Roman"/>
          <w:sz w:val="24"/>
          <w:szCs w:val="24"/>
        </w:rPr>
        <w:t xml:space="preserve"> </w:t>
      </w:r>
      <w:r w:rsidRPr="00F06F69">
        <w:rPr>
          <w:rFonts w:ascii="Times New Roman" w:hAnsi="Times New Roman" w:cs="Times New Roman"/>
          <w:sz w:val="24"/>
          <w:szCs w:val="24"/>
        </w:rPr>
        <w:t>violence</w:t>
      </w:r>
      <w:r>
        <w:rPr>
          <w:rFonts w:ascii="Times New Roman" w:hAnsi="Times New Roman" w:cs="Times New Roman"/>
          <w:sz w:val="24"/>
          <w:szCs w:val="24"/>
        </w:rPr>
        <w:t xml:space="preserve"> </w:t>
      </w:r>
      <w:r w:rsidRPr="00F06F69">
        <w:rPr>
          <w:rFonts w:ascii="Times New Roman" w:hAnsi="Times New Roman" w:cs="Times New Roman"/>
          <w:sz w:val="24"/>
          <w:szCs w:val="24"/>
        </w:rPr>
        <w:t>(GBV)</w:t>
      </w:r>
      <w:r>
        <w:rPr>
          <w:rFonts w:ascii="Times New Roman" w:hAnsi="Times New Roman" w:cs="Times New Roman"/>
          <w:sz w:val="24"/>
          <w:szCs w:val="24"/>
        </w:rPr>
        <w:t xml:space="preserve"> </w:t>
      </w:r>
      <w:r w:rsidRPr="00F06F69">
        <w:rPr>
          <w:rFonts w:ascii="Times New Roman" w:hAnsi="Times New Roman" w:cs="Times New Roman"/>
          <w:sz w:val="24"/>
          <w:szCs w:val="24"/>
        </w:rPr>
        <w:t>is</w:t>
      </w:r>
      <w:r>
        <w:rPr>
          <w:rFonts w:ascii="Times New Roman" w:hAnsi="Times New Roman" w:cs="Times New Roman"/>
          <w:sz w:val="24"/>
          <w:szCs w:val="24"/>
        </w:rPr>
        <w:t xml:space="preserve"> </w:t>
      </w:r>
      <w:r w:rsidRPr="00F06F69">
        <w:rPr>
          <w:rFonts w:ascii="Times New Roman" w:hAnsi="Times New Roman" w:cs="Times New Roman"/>
          <w:sz w:val="24"/>
          <w:szCs w:val="24"/>
        </w:rPr>
        <w:t>an</w:t>
      </w:r>
      <w:r>
        <w:rPr>
          <w:rFonts w:ascii="Times New Roman" w:hAnsi="Times New Roman" w:cs="Times New Roman"/>
          <w:sz w:val="24"/>
          <w:szCs w:val="24"/>
        </w:rPr>
        <w:t xml:space="preserve"> </w:t>
      </w:r>
      <w:r w:rsidRPr="00F06F69">
        <w:rPr>
          <w:rFonts w:ascii="Times New Roman" w:hAnsi="Times New Roman" w:cs="Times New Roman"/>
          <w:sz w:val="24"/>
          <w:szCs w:val="24"/>
        </w:rPr>
        <w:t>umbrella</w:t>
      </w:r>
      <w:r>
        <w:rPr>
          <w:rFonts w:ascii="Times New Roman" w:hAnsi="Times New Roman" w:cs="Times New Roman"/>
          <w:sz w:val="24"/>
          <w:szCs w:val="24"/>
        </w:rPr>
        <w:t xml:space="preserve"> </w:t>
      </w:r>
      <w:r w:rsidRPr="00F06F69">
        <w:rPr>
          <w:rFonts w:ascii="Times New Roman" w:hAnsi="Times New Roman" w:cs="Times New Roman"/>
          <w:sz w:val="24"/>
          <w:szCs w:val="24"/>
        </w:rPr>
        <w:t>term</w:t>
      </w:r>
      <w:r>
        <w:rPr>
          <w:rFonts w:ascii="Times New Roman" w:hAnsi="Times New Roman" w:cs="Times New Roman"/>
          <w:sz w:val="24"/>
          <w:szCs w:val="24"/>
        </w:rPr>
        <w:t xml:space="preserve"> </w:t>
      </w:r>
      <w:r w:rsidRPr="00F06F69">
        <w:rPr>
          <w:rFonts w:ascii="Times New Roman" w:hAnsi="Times New Roman" w:cs="Times New Roman"/>
          <w:sz w:val="24"/>
          <w:szCs w:val="24"/>
        </w:rPr>
        <w:t>for</w:t>
      </w:r>
      <w:r>
        <w:rPr>
          <w:rFonts w:ascii="Times New Roman" w:hAnsi="Times New Roman" w:cs="Times New Roman"/>
          <w:sz w:val="24"/>
          <w:szCs w:val="24"/>
        </w:rPr>
        <w:t xml:space="preserve"> </w:t>
      </w:r>
      <w:r w:rsidRPr="00F06F69">
        <w:rPr>
          <w:rFonts w:ascii="Times New Roman" w:hAnsi="Times New Roman" w:cs="Times New Roman"/>
          <w:sz w:val="24"/>
          <w:szCs w:val="24"/>
        </w:rPr>
        <w:t>any</w:t>
      </w:r>
      <w:r>
        <w:rPr>
          <w:rFonts w:ascii="Times New Roman" w:hAnsi="Times New Roman" w:cs="Times New Roman"/>
          <w:sz w:val="24"/>
          <w:szCs w:val="24"/>
        </w:rPr>
        <w:t xml:space="preserve"> </w:t>
      </w:r>
      <w:r w:rsidRPr="00F06F69">
        <w:rPr>
          <w:rFonts w:ascii="Times New Roman" w:hAnsi="Times New Roman" w:cs="Times New Roman"/>
          <w:sz w:val="24"/>
          <w:szCs w:val="24"/>
        </w:rPr>
        <w:t>harmful</w:t>
      </w:r>
      <w:r>
        <w:rPr>
          <w:rFonts w:ascii="Times New Roman" w:hAnsi="Times New Roman" w:cs="Times New Roman"/>
          <w:sz w:val="24"/>
          <w:szCs w:val="24"/>
        </w:rPr>
        <w:t xml:space="preserve"> </w:t>
      </w:r>
      <w:r w:rsidRPr="00F06F69">
        <w:rPr>
          <w:rFonts w:ascii="Times New Roman" w:hAnsi="Times New Roman" w:cs="Times New Roman"/>
          <w:sz w:val="24"/>
          <w:szCs w:val="24"/>
        </w:rPr>
        <w:t>act</w:t>
      </w:r>
      <w:r>
        <w:rPr>
          <w:rFonts w:ascii="Times New Roman" w:hAnsi="Times New Roman" w:cs="Times New Roman"/>
          <w:sz w:val="24"/>
          <w:szCs w:val="24"/>
        </w:rPr>
        <w:t xml:space="preserve"> </w:t>
      </w:r>
      <w:r w:rsidRPr="00F06F69">
        <w:rPr>
          <w:rFonts w:ascii="Times New Roman" w:hAnsi="Times New Roman" w:cs="Times New Roman"/>
          <w:sz w:val="24"/>
          <w:szCs w:val="24"/>
        </w:rPr>
        <w:t>that</w:t>
      </w:r>
      <w:r>
        <w:rPr>
          <w:rFonts w:ascii="Times New Roman" w:hAnsi="Times New Roman" w:cs="Times New Roman"/>
          <w:sz w:val="24"/>
          <w:szCs w:val="24"/>
        </w:rPr>
        <w:t xml:space="preserve"> </w:t>
      </w:r>
      <w:r w:rsidRPr="00F06F69">
        <w:rPr>
          <w:rFonts w:ascii="Times New Roman" w:hAnsi="Times New Roman" w:cs="Times New Roman"/>
          <w:sz w:val="24"/>
          <w:szCs w:val="24"/>
        </w:rPr>
        <w:t>is</w:t>
      </w:r>
      <w:r>
        <w:rPr>
          <w:rFonts w:ascii="Times New Roman" w:hAnsi="Times New Roman" w:cs="Times New Roman"/>
          <w:sz w:val="24"/>
          <w:szCs w:val="24"/>
        </w:rPr>
        <w:t xml:space="preserve"> </w:t>
      </w:r>
      <w:r w:rsidRPr="00F06F69">
        <w:rPr>
          <w:rFonts w:ascii="Times New Roman" w:hAnsi="Times New Roman" w:cs="Times New Roman"/>
          <w:sz w:val="24"/>
          <w:szCs w:val="24"/>
        </w:rPr>
        <w:t>perpetrated</w:t>
      </w:r>
      <w:r>
        <w:rPr>
          <w:rFonts w:ascii="Times New Roman" w:hAnsi="Times New Roman" w:cs="Times New Roman"/>
          <w:sz w:val="24"/>
          <w:szCs w:val="24"/>
        </w:rPr>
        <w:t xml:space="preserve"> </w:t>
      </w:r>
      <w:r w:rsidRPr="00F06F69">
        <w:rPr>
          <w:rFonts w:ascii="Times New Roman" w:hAnsi="Times New Roman" w:cs="Times New Roman"/>
          <w:sz w:val="24"/>
          <w:szCs w:val="24"/>
        </w:rPr>
        <w:t>against</w:t>
      </w:r>
      <w:r>
        <w:rPr>
          <w:rFonts w:ascii="Times New Roman" w:hAnsi="Times New Roman" w:cs="Times New Roman"/>
          <w:sz w:val="24"/>
          <w:szCs w:val="24"/>
        </w:rPr>
        <w:t xml:space="preserve"> </w:t>
      </w:r>
      <w:r w:rsidRPr="00F06F69">
        <w:rPr>
          <w:rFonts w:ascii="Times New Roman" w:hAnsi="Times New Roman" w:cs="Times New Roman"/>
          <w:sz w:val="24"/>
          <w:szCs w:val="24"/>
        </w:rPr>
        <w:t>a</w:t>
      </w:r>
      <w:r>
        <w:rPr>
          <w:rFonts w:ascii="Times New Roman" w:hAnsi="Times New Roman" w:cs="Times New Roman"/>
          <w:sz w:val="24"/>
          <w:szCs w:val="24"/>
        </w:rPr>
        <w:t xml:space="preserve"> </w:t>
      </w:r>
      <w:r w:rsidRPr="00F06F69">
        <w:rPr>
          <w:rFonts w:ascii="Times New Roman" w:hAnsi="Times New Roman" w:cs="Times New Roman"/>
          <w:sz w:val="24"/>
          <w:szCs w:val="24"/>
        </w:rPr>
        <w:t>person’s</w:t>
      </w:r>
      <w:r>
        <w:rPr>
          <w:rFonts w:ascii="Times New Roman" w:hAnsi="Times New Roman" w:cs="Times New Roman"/>
          <w:sz w:val="24"/>
          <w:szCs w:val="24"/>
        </w:rPr>
        <w:t xml:space="preserve"> </w:t>
      </w:r>
      <w:r w:rsidRPr="00F06F69">
        <w:rPr>
          <w:rFonts w:ascii="Times New Roman" w:hAnsi="Times New Roman" w:cs="Times New Roman"/>
          <w:sz w:val="24"/>
          <w:szCs w:val="24"/>
        </w:rPr>
        <w:t>will</w:t>
      </w:r>
      <w:r>
        <w:rPr>
          <w:rFonts w:ascii="Times New Roman" w:hAnsi="Times New Roman" w:cs="Times New Roman"/>
          <w:sz w:val="24"/>
          <w:szCs w:val="24"/>
        </w:rPr>
        <w:t xml:space="preserve"> </w:t>
      </w:r>
      <w:r w:rsidRPr="00F06F69">
        <w:rPr>
          <w:rFonts w:ascii="Times New Roman" w:hAnsi="Times New Roman" w:cs="Times New Roman"/>
          <w:sz w:val="24"/>
          <w:szCs w:val="24"/>
        </w:rPr>
        <w:t>and</w:t>
      </w:r>
      <w:r>
        <w:rPr>
          <w:rFonts w:ascii="Times New Roman" w:hAnsi="Times New Roman" w:cs="Times New Roman"/>
          <w:sz w:val="24"/>
          <w:szCs w:val="24"/>
        </w:rPr>
        <w:t xml:space="preserve"> </w:t>
      </w:r>
      <w:r w:rsidRPr="00F06F69">
        <w:rPr>
          <w:rFonts w:ascii="Times New Roman" w:hAnsi="Times New Roman" w:cs="Times New Roman"/>
          <w:sz w:val="24"/>
          <w:szCs w:val="24"/>
        </w:rPr>
        <w:t>that</w:t>
      </w:r>
      <w:r>
        <w:rPr>
          <w:rFonts w:ascii="Times New Roman" w:hAnsi="Times New Roman" w:cs="Times New Roman"/>
          <w:sz w:val="24"/>
          <w:szCs w:val="24"/>
        </w:rPr>
        <w:t xml:space="preserve"> </w:t>
      </w:r>
      <w:r w:rsidRPr="00F06F69">
        <w:rPr>
          <w:rFonts w:ascii="Times New Roman" w:hAnsi="Times New Roman" w:cs="Times New Roman"/>
          <w:sz w:val="24"/>
          <w:szCs w:val="24"/>
        </w:rPr>
        <w:t>is</w:t>
      </w:r>
      <w:r>
        <w:rPr>
          <w:rFonts w:ascii="Times New Roman" w:hAnsi="Times New Roman" w:cs="Times New Roman"/>
          <w:sz w:val="24"/>
          <w:szCs w:val="24"/>
        </w:rPr>
        <w:t xml:space="preserve"> </w:t>
      </w:r>
      <w:r w:rsidRPr="00F06F69">
        <w:rPr>
          <w:rFonts w:ascii="Times New Roman" w:hAnsi="Times New Roman" w:cs="Times New Roman"/>
          <w:sz w:val="24"/>
          <w:szCs w:val="24"/>
        </w:rPr>
        <w:t>based</w:t>
      </w:r>
      <w:r>
        <w:rPr>
          <w:rFonts w:ascii="Times New Roman" w:hAnsi="Times New Roman" w:cs="Times New Roman"/>
          <w:sz w:val="24"/>
          <w:szCs w:val="24"/>
        </w:rPr>
        <w:t xml:space="preserve"> </w:t>
      </w:r>
      <w:r w:rsidRPr="00F06F69">
        <w:rPr>
          <w:rFonts w:ascii="Times New Roman" w:hAnsi="Times New Roman" w:cs="Times New Roman"/>
          <w:sz w:val="24"/>
          <w:szCs w:val="24"/>
        </w:rPr>
        <w:t>on</w:t>
      </w:r>
      <w:r>
        <w:rPr>
          <w:rFonts w:ascii="Times New Roman" w:hAnsi="Times New Roman" w:cs="Times New Roman"/>
          <w:sz w:val="24"/>
          <w:szCs w:val="24"/>
        </w:rPr>
        <w:t xml:space="preserve"> </w:t>
      </w:r>
      <w:r w:rsidRPr="00F06F69">
        <w:rPr>
          <w:rFonts w:ascii="Times New Roman" w:hAnsi="Times New Roman" w:cs="Times New Roman"/>
          <w:sz w:val="24"/>
          <w:szCs w:val="24"/>
        </w:rPr>
        <w:t>socially</w:t>
      </w:r>
      <w:r>
        <w:rPr>
          <w:rFonts w:ascii="Times New Roman" w:hAnsi="Times New Roman" w:cs="Times New Roman"/>
          <w:sz w:val="24"/>
          <w:szCs w:val="24"/>
        </w:rPr>
        <w:t xml:space="preserve"> </w:t>
      </w:r>
      <w:r w:rsidRPr="00F06F69">
        <w:rPr>
          <w:rFonts w:ascii="Times New Roman" w:hAnsi="Times New Roman" w:cs="Times New Roman"/>
          <w:sz w:val="24"/>
          <w:szCs w:val="24"/>
        </w:rPr>
        <w:t>ascribed</w:t>
      </w:r>
      <w:r>
        <w:rPr>
          <w:rFonts w:ascii="Times New Roman" w:hAnsi="Times New Roman" w:cs="Times New Roman"/>
          <w:sz w:val="24"/>
          <w:szCs w:val="24"/>
        </w:rPr>
        <w:t xml:space="preserve"> </w:t>
      </w:r>
      <w:r w:rsidRPr="00F06F69">
        <w:rPr>
          <w:rFonts w:ascii="Times New Roman" w:hAnsi="Times New Roman" w:cs="Times New Roman"/>
          <w:sz w:val="24"/>
          <w:szCs w:val="24"/>
        </w:rPr>
        <w:t>(</w:t>
      </w:r>
      <w:proofErr w:type="spellStart"/>
      <w:r w:rsidRPr="00F06F69">
        <w:rPr>
          <w:rFonts w:ascii="Times New Roman" w:hAnsi="Times New Roman" w:cs="Times New Roman"/>
          <w:sz w:val="24"/>
          <w:szCs w:val="24"/>
        </w:rPr>
        <w:t>i.e.gender</w:t>
      </w:r>
      <w:proofErr w:type="spellEnd"/>
      <w:r w:rsidRPr="00F06F69">
        <w:rPr>
          <w:rFonts w:ascii="Times New Roman" w:hAnsi="Times New Roman" w:cs="Times New Roman"/>
          <w:sz w:val="24"/>
          <w:szCs w:val="24"/>
        </w:rPr>
        <w:t>)</w:t>
      </w:r>
      <w:r>
        <w:rPr>
          <w:rFonts w:ascii="Times New Roman" w:hAnsi="Times New Roman" w:cs="Times New Roman"/>
          <w:sz w:val="24"/>
          <w:szCs w:val="24"/>
        </w:rPr>
        <w:t xml:space="preserve"> </w:t>
      </w:r>
      <w:r w:rsidRPr="00F06F69">
        <w:rPr>
          <w:rFonts w:ascii="Times New Roman" w:hAnsi="Times New Roman" w:cs="Times New Roman"/>
          <w:sz w:val="24"/>
          <w:szCs w:val="24"/>
        </w:rPr>
        <w:t>differences</w:t>
      </w:r>
      <w:r>
        <w:rPr>
          <w:rFonts w:ascii="Times New Roman" w:hAnsi="Times New Roman" w:cs="Times New Roman"/>
          <w:sz w:val="24"/>
          <w:szCs w:val="24"/>
        </w:rPr>
        <w:t xml:space="preserve"> </w:t>
      </w:r>
      <w:r w:rsidRPr="00F06F69">
        <w:rPr>
          <w:rFonts w:ascii="Times New Roman" w:hAnsi="Times New Roman" w:cs="Times New Roman"/>
          <w:sz w:val="24"/>
          <w:szCs w:val="24"/>
        </w:rPr>
        <w:t>between</w:t>
      </w:r>
      <w:r>
        <w:rPr>
          <w:rFonts w:ascii="Times New Roman" w:hAnsi="Times New Roman" w:cs="Times New Roman"/>
          <w:sz w:val="24"/>
          <w:szCs w:val="24"/>
        </w:rPr>
        <w:t xml:space="preserve"> </w:t>
      </w:r>
      <w:r w:rsidRPr="00F06F69">
        <w:rPr>
          <w:rFonts w:ascii="Times New Roman" w:hAnsi="Times New Roman" w:cs="Times New Roman"/>
          <w:sz w:val="24"/>
          <w:szCs w:val="24"/>
        </w:rPr>
        <w:t>males</w:t>
      </w:r>
      <w:r>
        <w:rPr>
          <w:rFonts w:ascii="Times New Roman" w:hAnsi="Times New Roman" w:cs="Times New Roman"/>
          <w:sz w:val="24"/>
          <w:szCs w:val="24"/>
        </w:rPr>
        <w:t xml:space="preserve"> </w:t>
      </w:r>
      <w:r w:rsidRPr="00F06F69">
        <w:rPr>
          <w:rFonts w:ascii="Times New Roman" w:hAnsi="Times New Roman" w:cs="Times New Roman"/>
          <w:sz w:val="24"/>
          <w:szCs w:val="24"/>
        </w:rPr>
        <w:t>and</w:t>
      </w:r>
      <w:r>
        <w:rPr>
          <w:rFonts w:ascii="Times New Roman" w:hAnsi="Times New Roman" w:cs="Times New Roman"/>
          <w:sz w:val="24"/>
          <w:szCs w:val="24"/>
        </w:rPr>
        <w:t xml:space="preserve"> </w:t>
      </w:r>
      <w:r w:rsidRPr="00F06F69">
        <w:rPr>
          <w:rFonts w:ascii="Times New Roman" w:hAnsi="Times New Roman" w:cs="Times New Roman"/>
          <w:sz w:val="24"/>
          <w:szCs w:val="24"/>
        </w:rPr>
        <w:t>females.</w:t>
      </w:r>
      <w:r>
        <w:rPr>
          <w:rFonts w:ascii="Times New Roman" w:hAnsi="Times New Roman" w:cs="Times New Roman"/>
          <w:sz w:val="24"/>
          <w:szCs w:val="24"/>
        </w:rPr>
        <w:t xml:space="preserve"> </w:t>
      </w:r>
      <w:r w:rsidRPr="00F06F69">
        <w:rPr>
          <w:rFonts w:ascii="Times New Roman" w:hAnsi="Times New Roman" w:cs="Times New Roman"/>
          <w:sz w:val="24"/>
          <w:szCs w:val="24"/>
        </w:rPr>
        <w:t>It</w:t>
      </w:r>
      <w:r>
        <w:rPr>
          <w:rFonts w:ascii="Times New Roman" w:hAnsi="Times New Roman" w:cs="Times New Roman"/>
          <w:sz w:val="24"/>
          <w:szCs w:val="24"/>
        </w:rPr>
        <w:t xml:space="preserve"> </w:t>
      </w:r>
      <w:r w:rsidRPr="00F06F69">
        <w:rPr>
          <w:rFonts w:ascii="Times New Roman" w:hAnsi="Times New Roman" w:cs="Times New Roman"/>
          <w:sz w:val="24"/>
          <w:szCs w:val="24"/>
        </w:rPr>
        <w:t>includes</w:t>
      </w:r>
      <w:r>
        <w:rPr>
          <w:rFonts w:ascii="Times New Roman" w:hAnsi="Times New Roman" w:cs="Times New Roman"/>
          <w:sz w:val="24"/>
          <w:szCs w:val="24"/>
        </w:rPr>
        <w:t xml:space="preserve"> </w:t>
      </w:r>
      <w:r w:rsidRPr="00F06F69">
        <w:rPr>
          <w:rFonts w:ascii="Times New Roman" w:hAnsi="Times New Roman" w:cs="Times New Roman"/>
          <w:sz w:val="24"/>
          <w:szCs w:val="24"/>
        </w:rPr>
        <w:t>acts</w:t>
      </w:r>
      <w:r>
        <w:rPr>
          <w:rFonts w:ascii="Times New Roman" w:hAnsi="Times New Roman" w:cs="Times New Roman"/>
          <w:sz w:val="24"/>
          <w:szCs w:val="24"/>
        </w:rPr>
        <w:t xml:space="preserve"> </w:t>
      </w:r>
      <w:r w:rsidRPr="00F06F69">
        <w:rPr>
          <w:rFonts w:ascii="Times New Roman" w:hAnsi="Times New Roman" w:cs="Times New Roman"/>
          <w:sz w:val="24"/>
          <w:szCs w:val="24"/>
        </w:rPr>
        <w:t>that</w:t>
      </w:r>
      <w:r>
        <w:rPr>
          <w:rFonts w:ascii="Times New Roman" w:hAnsi="Times New Roman" w:cs="Times New Roman"/>
          <w:sz w:val="24"/>
          <w:szCs w:val="24"/>
        </w:rPr>
        <w:t xml:space="preserve"> </w:t>
      </w:r>
      <w:r w:rsidRPr="00F06F69">
        <w:rPr>
          <w:rFonts w:ascii="Times New Roman" w:hAnsi="Times New Roman" w:cs="Times New Roman"/>
          <w:sz w:val="24"/>
          <w:szCs w:val="24"/>
        </w:rPr>
        <w:t>inflict</w:t>
      </w:r>
      <w:r>
        <w:rPr>
          <w:rFonts w:ascii="Times New Roman" w:hAnsi="Times New Roman" w:cs="Times New Roman"/>
          <w:sz w:val="24"/>
          <w:szCs w:val="24"/>
        </w:rPr>
        <w:t xml:space="preserve"> </w:t>
      </w:r>
      <w:r w:rsidRPr="00F06F69">
        <w:rPr>
          <w:rFonts w:ascii="Times New Roman" w:hAnsi="Times New Roman" w:cs="Times New Roman"/>
          <w:sz w:val="24"/>
          <w:szCs w:val="24"/>
        </w:rPr>
        <w:t>physical,</w:t>
      </w:r>
      <w:r>
        <w:rPr>
          <w:rFonts w:ascii="Times New Roman" w:hAnsi="Times New Roman" w:cs="Times New Roman"/>
          <w:sz w:val="24"/>
          <w:szCs w:val="24"/>
        </w:rPr>
        <w:t xml:space="preserve"> </w:t>
      </w:r>
      <w:r w:rsidRPr="00F06F69">
        <w:rPr>
          <w:rFonts w:ascii="Times New Roman" w:hAnsi="Times New Roman" w:cs="Times New Roman"/>
          <w:sz w:val="24"/>
          <w:szCs w:val="24"/>
        </w:rPr>
        <w:t>sexual</w:t>
      </w:r>
      <w:r>
        <w:rPr>
          <w:rFonts w:ascii="Times New Roman" w:hAnsi="Times New Roman" w:cs="Times New Roman"/>
          <w:sz w:val="24"/>
          <w:szCs w:val="24"/>
        </w:rPr>
        <w:t xml:space="preserve"> </w:t>
      </w:r>
      <w:r w:rsidRPr="00F06F69">
        <w:rPr>
          <w:rFonts w:ascii="Times New Roman" w:hAnsi="Times New Roman" w:cs="Times New Roman"/>
          <w:sz w:val="24"/>
          <w:szCs w:val="24"/>
        </w:rPr>
        <w:t>or</w:t>
      </w:r>
      <w:r>
        <w:rPr>
          <w:rFonts w:ascii="Times New Roman" w:hAnsi="Times New Roman" w:cs="Times New Roman"/>
          <w:sz w:val="24"/>
          <w:szCs w:val="24"/>
        </w:rPr>
        <w:t xml:space="preserve"> </w:t>
      </w:r>
      <w:r w:rsidRPr="00F06F69">
        <w:rPr>
          <w:rFonts w:ascii="Times New Roman" w:hAnsi="Times New Roman" w:cs="Times New Roman"/>
          <w:sz w:val="24"/>
          <w:szCs w:val="24"/>
        </w:rPr>
        <w:t>mental</w:t>
      </w:r>
      <w:r>
        <w:rPr>
          <w:rFonts w:ascii="Times New Roman" w:hAnsi="Times New Roman" w:cs="Times New Roman"/>
          <w:sz w:val="24"/>
          <w:szCs w:val="24"/>
        </w:rPr>
        <w:t xml:space="preserve"> </w:t>
      </w:r>
      <w:proofErr w:type="spellStart"/>
      <w:r w:rsidRPr="00F06F69">
        <w:rPr>
          <w:rFonts w:ascii="Times New Roman" w:hAnsi="Times New Roman" w:cs="Times New Roman"/>
          <w:sz w:val="24"/>
          <w:szCs w:val="24"/>
        </w:rPr>
        <w:t>harmor</w:t>
      </w:r>
      <w:proofErr w:type="spellEnd"/>
      <w:r>
        <w:rPr>
          <w:rFonts w:ascii="Times New Roman" w:hAnsi="Times New Roman" w:cs="Times New Roman"/>
          <w:sz w:val="24"/>
          <w:szCs w:val="24"/>
        </w:rPr>
        <w:t xml:space="preserve"> </w:t>
      </w:r>
      <w:r w:rsidRPr="00F06F69">
        <w:rPr>
          <w:rFonts w:ascii="Times New Roman" w:hAnsi="Times New Roman" w:cs="Times New Roman"/>
          <w:sz w:val="24"/>
          <w:szCs w:val="24"/>
        </w:rPr>
        <w:t>suffering,</w:t>
      </w:r>
      <w:r>
        <w:rPr>
          <w:rFonts w:ascii="Times New Roman" w:hAnsi="Times New Roman" w:cs="Times New Roman"/>
          <w:sz w:val="24"/>
          <w:szCs w:val="24"/>
        </w:rPr>
        <w:t xml:space="preserve"> </w:t>
      </w:r>
      <w:r w:rsidRPr="00F06F69">
        <w:rPr>
          <w:rFonts w:ascii="Times New Roman" w:hAnsi="Times New Roman" w:cs="Times New Roman"/>
          <w:sz w:val="24"/>
          <w:szCs w:val="24"/>
        </w:rPr>
        <w:t>threats</w:t>
      </w:r>
      <w:r>
        <w:rPr>
          <w:rFonts w:ascii="Times New Roman" w:hAnsi="Times New Roman" w:cs="Times New Roman"/>
          <w:sz w:val="24"/>
          <w:szCs w:val="24"/>
        </w:rPr>
        <w:t xml:space="preserve"> </w:t>
      </w:r>
      <w:r w:rsidRPr="00F06F69">
        <w:rPr>
          <w:rFonts w:ascii="Times New Roman" w:hAnsi="Times New Roman" w:cs="Times New Roman"/>
          <w:sz w:val="24"/>
          <w:szCs w:val="24"/>
        </w:rPr>
        <w:t>of</w:t>
      </w:r>
      <w:r>
        <w:rPr>
          <w:rFonts w:ascii="Times New Roman" w:hAnsi="Times New Roman" w:cs="Times New Roman"/>
          <w:sz w:val="24"/>
          <w:szCs w:val="24"/>
        </w:rPr>
        <w:t xml:space="preserve"> </w:t>
      </w:r>
      <w:r w:rsidRPr="00F06F69">
        <w:rPr>
          <w:rFonts w:ascii="Times New Roman" w:hAnsi="Times New Roman" w:cs="Times New Roman"/>
          <w:sz w:val="24"/>
          <w:szCs w:val="24"/>
        </w:rPr>
        <w:t>such</w:t>
      </w:r>
      <w:r>
        <w:rPr>
          <w:rFonts w:ascii="Times New Roman" w:hAnsi="Times New Roman" w:cs="Times New Roman"/>
          <w:sz w:val="24"/>
          <w:szCs w:val="24"/>
        </w:rPr>
        <w:t xml:space="preserve"> </w:t>
      </w:r>
      <w:r w:rsidRPr="00F06F69">
        <w:rPr>
          <w:rFonts w:ascii="Times New Roman" w:hAnsi="Times New Roman" w:cs="Times New Roman"/>
          <w:sz w:val="24"/>
          <w:szCs w:val="24"/>
        </w:rPr>
        <w:t>acts,</w:t>
      </w:r>
      <w:r>
        <w:rPr>
          <w:rFonts w:ascii="Times New Roman" w:hAnsi="Times New Roman" w:cs="Times New Roman"/>
          <w:sz w:val="24"/>
          <w:szCs w:val="24"/>
        </w:rPr>
        <w:t xml:space="preserve"> </w:t>
      </w:r>
      <w:r w:rsidRPr="00F06F69">
        <w:rPr>
          <w:rFonts w:ascii="Times New Roman" w:hAnsi="Times New Roman" w:cs="Times New Roman"/>
          <w:sz w:val="24"/>
          <w:szCs w:val="24"/>
        </w:rPr>
        <w:t>coercion,</w:t>
      </w:r>
      <w:r>
        <w:rPr>
          <w:rFonts w:ascii="Times New Roman" w:hAnsi="Times New Roman" w:cs="Times New Roman"/>
          <w:sz w:val="24"/>
          <w:szCs w:val="24"/>
        </w:rPr>
        <w:t xml:space="preserve"> </w:t>
      </w:r>
      <w:r w:rsidRPr="00F06F69">
        <w:rPr>
          <w:rFonts w:ascii="Times New Roman" w:hAnsi="Times New Roman" w:cs="Times New Roman"/>
          <w:sz w:val="24"/>
          <w:szCs w:val="24"/>
        </w:rPr>
        <w:t>and</w:t>
      </w:r>
      <w:r>
        <w:rPr>
          <w:rFonts w:ascii="Times New Roman" w:hAnsi="Times New Roman" w:cs="Times New Roman"/>
          <w:sz w:val="24"/>
          <w:szCs w:val="24"/>
        </w:rPr>
        <w:t xml:space="preserve"> </w:t>
      </w:r>
      <w:r w:rsidRPr="00F06F69">
        <w:rPr>
          <w:rFonts w:ascii="Times New Roman" w:hAnsi="Times New Roman" w:cs="Times New Roman"/>
          <w:sz w:val="24"/>
          <w:szCs w:val="24"/>
        </w:rPr>
        <w:t>other</w:t>
      </w:r>
      <w:r>
        <w:rPr>
          <w:rFonts w:ascii="Times New Roman" w:hAnsi="Times New Roman" w:cs="Times New Roman"/>
          <w:sz w:val="24"/>
          <w:szCs w:val="24"/>
        </w:rPr>
        <w:t xml:space="preserve"> </w:t>
      </w:r>
      <w:r w:rsidRPr="00F06F69">
        <w:rPr>
          <w:rFonts w:ascii="Times New Roman" w:hAnsi="Times New Roman" w:cs="Times New Roman"/>
          <w:sz w:val="24"/>
          <w:szCs w:val="24"/>
        </w:rPr>
        <w:t>deprivations</w:t>
      </w:r>
      <w:r>
        <w:rPr>
          <w:rFonts w:ascii="Times New Roman" w:hAnsi="Times New Roman" w:cs="Times New Roman"/>
          <w:sz w:val="24"/>
          <w:szCs w:val="24"/>
        </w:rPr>
        <w:t xml:space="preserve"> </w:t>
      </w:r>
      <w:r w:rsidRPr="00F06F69">
        <w:rPr>
          <w:rFonts w:ascii="Times New Roman" w:hAnsi="Times New Roman" w:cs="Times New Roman"/>
          <w:sz w:val="24"/>
          <w:szCs w:val="24"/>
        </w:rPr>
        <w:t>of</w:t>
      </w:r>
      <w:r>
        <w:rPr>
          <w:rFonts w:ascii="Times New Roman" w:hAnsi="Times New Roman" w:cs="Times New Roman"/>
          <w:sz w:val="24"/>
          <w:szCs w:val="24"/>
        </w:rPr>
        <w:t xml:space="preserve"> </w:t>
      </w:r>
      <w:r w:rsidRPr="00F06F69">
        <w:rPr>
          <w:rFonts w:ascii="Times New Roman" w:hAnsi="Times New Roman" w:cs="Times New Roman"/>
          <w:sz w:val="24"/>
          <w:szCs w:val="24"/>
        </w:rPr>
        <w:t>liberty.</w:t>
      </w:r>
      <w:r>
        <w:rPr>
          <w:rFonts w:ascii="Times New Roman" w:hAnsi="Times New Roman" w:cs="Times New Roman"/>
          <w:sz w:val="24"/>
          <w:szCs w:val="24"/>
        </w:rPr>
        <w:t xml:space="preserve"> </w:t>
      </w:r>
      <w:r w:rsidRPr="00F06F69">
        <w:rPr>
          <w:rFonts w:ascii="Times New Roman" w:hAnsi="Times New Roman" w:cs="Times New Roman"/>
          <w:sz w:val="24"/>
          <w:szCs w:val="24"/>
        </w:rPr>
        <w:t>These</w:t>
      </w:r>
      <w:r>
        <w:rPr>
          <w:rFonts w:ascii="Times New Roman" w:hAnsi="Times New Roman" w:cs="Times New Roman"/>
          <w:sz w:val="24"/>
          <w:szCs w:val="24"/>
        </w:rPr>
        <w:t xml:space="preserve"> </w:t>
      </w:r>
      <w:r w:rsidRPr="00F06F69">
        <w:rPr>
          <w:rFonts w:ascii="Times New Roman" w:hAnsi="Times New Roman" w:cs="Times New Roman"/>
          <w:sz w:val="24"/>
          <w:szCs w:val="24"/>
        </w:rPr>
        <w:t>acts</w:t>
      </w:r>
      <w:r>
        <w:rPr>
          <w:rFonts w:ascii="Times New Roman" w:hAnsi="Times New Roman" w:cs="Times New Roman"/>
          <w:sz w:val="24"/>
          <w:szCs w:val="24"/>
        </w:rPr>
        <w:t xml:space="preserve"> </w:t>
      </w:r>
      <w:r w:rsidRPr="00F06F69">
        <w:rPr>
          <w:rFonts w:ascii="Times New Roman" w:hAnsi="Times New Roman" w:cs="Times New Roman"/>
          <w:sz w:val="24"/>
          <w:szCs w:val="24"/>
        </w:rPr>
        <w:t>can</w:t>
      </w:r>
      <w:r>
        <w:rPr>
          <w:rFonts w:ascii="Times New Roman" w:hAnsi="Times New Roman" w:cs="Times New Roman"/>
          <w:sz w:val="24"/>
          <w:szCs w:val="24"/>
        </w:rPr>
        <w:t xml:space="preserve"> </w:t>
      </w:r>
      <w:r w:rsidRPr="00F06F69">
        <w:rPr>
          <w:rFonts w:ascii="Times New Roman" w:hAnsi="Times New Roman" w:cs="Times New Roman"/>
          <w:sz w:val="24"/>
          <w:szCs w:val="24"/>
        </w:rPr>
        <w:t>occur</w:t>
      </w:r>
      <w:r>
        <w:rPr>
          <w:rFonts w:ascii="Times New Roman" w:hAnsi="Times New Roman" w:cs="Times New Roman"/>
          <w:sz w:val="24"/>
          <w:szCs w:val="24"/>
        </w:rPr>
        <w:t xml:space="preserve"> </w:t>
      </w:r>
      <w:r w:rsidRPr="00F06F69">
        <w:rPr>
          <w:rFonts w:ascii="Times New Roman" w:hAnsi="Times New Roman" w:cs="Times New Roman"/>
          <w:sz w:val="24"/>
          <w:szCs w:val="24"/>
        </w:rPr>
        <w:t>in</w:t>
      </w:r>
      <w:r>
        <w:rPr>
          <w:rFonts w:ascii="Times New Roman" w:hAnsi="Times New Roman" w:cs="Times New Roman"/>
          <w:sz w:val="24"/>
          <w:szCs w:val="24"/>
        </w:rPr>
        <w:t xml:space="preserve"> </w:t>
      </w:r>
      <w:r w:rsidRPr="00F06F69">
        <w:rPr>
          <w:rFonts w:ascii="Times New Roman" w:hAnsi="Times New Roman" w:cs="Times New Roman"/>
          <w:sz w:val="24"/>
          <w:szCs w:val="24"/>
        </w:rPr>
        <w:t>public</w:t>
      </w:r>
      <w:r>
        <w:rPr>
          <w:rFonts w:ascii="Times New Roman" w:hAnsi="Times New Roman" w:cs="Times New Roman"/>
          <w:sz w:val="24"/>
          <w:szCs w:val="24"/>
        </w:rPr>
        <w:t xml:space="preserve"> </w:t>
      </w:r>
      <w:r w:rsidRPr="00F06F69">
        <w:rPr>
          <w:rFonts w:ascii="Times New Roman" w:hAnsi="Times New Roman" w:cs="Times New Roman"/>
          <w:sz w:val="24"/>
          <w:szCs w:val="24"/>
        </w:rPr>
        <w:t>or</w:t>
      </w:r>
      <w:r>
        <w:rPr>
          <w:rFonts w:ascii="Times New Roman" w:hAnsi="Times New Roman" w:cs="Times New Roman"/>
          <w:sz w:val="24"/>
          <w:szCs w:val="24"/>
        </w:rPr>
        <w:t xml:space="preserve"> </w:t>
      </w:r>
      <w:r w:rsidRPr="00F06F69">
        <w:rPr>
          <w:rFonts w:ascii="Times New Roman" w:hAnsi="Times New Roman" w:cs="Times New Roman"/>
          <w:sz w:val="24"/>
          <w:szCs w:val="24"/>
        </w:rPr>
        <w:t>in</w:t>
      </w:r>
      <w:r>
        <w:rPr>
          <w:rFonts w:ascii="Times New Roman" w:hAnsi="Times New Roman" w:cs="Times New Roman"/>
          <w:sz w:val="24"/>
          <w:szCs w:val="24"/>
        </w:rPr>
        <w:t xml:space="preserve"> </w:t>
      </w:r>
      <w:r w:rsidRPr="00F06F69">
        <w:rPr>
          <w:rFonts w:ascii="Times New Roman" w:hAnsi="Times New Roman" w:cs="Times New Roman"/>
          <w:sz w:val="24"/>
          <w:szCs w:val="24"/>
        </w:rPr>
        <w:t>private</w:t>
      </w:r>
      <w:r>
        <w:rPr>
          <w:rFonts w:ascii="Times New Roman" w:hAnsi="Times New Roman" w:cs="Times New Roman"/>
          <w:sz w:val="24"/>
          <w:szCs w:val="24"/>
        </w:rPr>
        <w:t xml:space="preserve"> </w:t>
      </w:r>
      <w:r w:rsidRPr="00F06F69">
        <w:rPr>
          <w:rFonts w:ascii="Times New Roman" w:hAnsi="Times New Roman" w:cs="Times New Roman"/>
          <w:sz w:val="24"/>
          <w:szCs w:val="24"/>
        </w:rPr>
        <w:t>(IASC2015).</w:t>
      </w:r>
    </w:p>
    <w:p w14:paraId="14D0178D" w14:textId="77777777" w:rsidR="00F06F69" w:rsidRPr="0000255F" w:rsidRDefault="00F06F69" w:rsidP="0000255F">
      <w:pPr>
        <w:spacing w:after="0" w:line="240" w:lineRule="auto"/>
        <w:jc w:val="both"/>
        <w:rPr>
          <w:rFonts w:ascii="Times New Roman" w:hAnsi="Times New Roman" w:cs="Times New Roman"/>
          <w:sz w:val="24"/>
          <w:szCs w:val="24"/>
        </w:rPr>
      </w:pPr>
    </w:p>
    <w:p w14:paraId="0E16DAC0" w14:textId="2C3F20C1"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WB defines Sexual Exploitation and Abuse (SEA) as any actual or attempted abuse of </w:t>
      </w:r>
      <w:r w:rsidR="00ED54F0">
        <w:rPr>
          <w:rFonts w:ascii="Times New Roman" w:hAnsi="Times New Roman" w:cs="Times New Roman"/>
          <w:sz w:val="24"/>
          <w:szCs w:val="24"/>
        </w:rPr>
        <w:t xml:space="preserve">a </w:t>
      </w:r>
      <w:r w:rsidRPr="0000255F">
        <w:rPr>
          <w:rFonts w:ascii="Times New Roman" w:hAnsi="Times New Roman" w:cs="Times New Roman"/>
          <w:sz w:val="24"/>
          <w:szCs w:val="24"/>
        </w:rPr>
        <w:t xml:space="preserve">position of vulnerability, differential power or trust, for sexual purposes. The abuse of such power may include wrongful gains such as profiting monetarily, </w:t>
      </w:r>
      <w:r w:rsidR="00ED54F0" w:rsidRPr="0000255F">
        <w:rPr>
          <w:rFonts w:ascii="Times New Roman" w:hAnsi="Times New Roman" w:cs="Times New Roman"/>
          <w:sz w:val="24"/>
          <w:szCs w:val="24"/>
        </w:rPr>
        <w:t>socially,</w:t>
      </w:r>
      <w:r w:rsidRPr="0000255F">
        <w:rPr>
          <w:rFonts w:ascii="Times New Roman" w:hAnsi="Times New Roman" w:cs="Times New Roman"/>
          <w:sz w:val="24"/>
          <w:szCs w:val="24"/>
        </w:rPr>
        <w:t xml:space="preserve"> or politically from the sexual exploitation of the weak in society. In the projects financed by the WB sexual exploitation occurs when access to or benefit from Bank financed goods, works, non-consulting services or consulting services is used to extract sexual gain.</w:t>
      </w:r>
    </w:p>
    <w:p w14:paraId="7C467B0D" w14:textId="77777777" w:rsidR="00B05148" w:rsidRPr="0000255F" w:rsidRDefault="00B05148" w:rsidP="0000255F">
      <w:pPr>
        <w:spacing w:after="0" w:line="240" w:lineRule="auto"/>
        <w:jc w:val="both"/>
        <w:rPr>
          <w:rFonts w:ascii="Times New Roman" w:hAnsi="Times New Roman" w:cs="Times New Roman"/>
          <w:sz w:val="24"/>
          <w:szCs w:val="24"/>
        </w:rPr>
      </w:pPr>
    </w:p>
    <w:p w14:paraId="1DD2A6CF" w14:textId="36EB93FD"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Sexual Abuse (SA) is defined by the WB as the actual or threatened physical intrusion of a sexual nature, whether by force or under unequal or coercive conditions.</w:t>
      </w:r>
    </w:p>
    <w:p w14:paraId="06992AE7" w14:textId="77777777" w:rsidR="00B05148" w:rsidRPr="0000255F" w:rsidRDefault="00B05148" w:rsidP="0000255F">
      <w:pPr>
        <w:spacing w:after="0" w:line="240" w:lineRule="auto"/>
        <w:jc w:val="both"/>
        <w:rPr>
          <w:rFonts w:ascii="Times New Roman" w:hAnsi="Times New Roman" w:cs="Times New Roman"/>
          <w:sz w:val="24"/>
          <w:szCs w:val="24"/>
        </w:rPr>
      </w:pPr>
    </w:p>
    <w:p w14:paraId="35560960" w14:textId="77777777" w:rsidR="00E40716" w:rsidRPr="0000255F"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Sexual Harassment (SH) is defined as any unwelcome sexual advance, request for sexual favor, verbal or physical conduct or gesture of a sexual nature, or any other behavior of a sexual nature that might reasonably be expected or be perceived to cause offense or humiliation to another, when such conduct interferes with work, is made a condition of employment or creates an intimidating, hostile or offensive work environment.  It occurs between personnel/staff and involves any unwelcome sexual advance or unwanted verbal or physical conduct of a sexual nature.</w:t>
      </w:r>
    </w:p>
    <w:p w14:paraId="40B267DD" w14:textId="77777777" w:rsidR="00E40716" w:rsidRPr="0000255F" w:rsidRDefault="00E40716" w:rsidP="0000255F">
      <w:pPr>
        <w:spacing w:after="0" w:line="240" w:lineRule="auto"/>
        <w:jc w:val="both"/>
        <w:rPr>
          <w:rFonts w:ascii="Times New Roman" w:hAnsi="Times New Roman" w:cs="Times New Roman"/>
          <w:sz w:val="24"/>
          <w:szCs w:val="24"/>
        </w:rPr>
      </w:pPr>
    </w:p>
    <w:p w14:paraId="174767C6" w14:textId="77777777" w:rsidR="00E40716" w:rsidRPr="0000255F" w:rsidRDefault="00E40716" w:rsidP="0000255F">
      <w:pPr>
        <w:spacing w:after="0" w:line="240" w:lineRule="auto"/>
        <w:jc w:val="both"/>
        <w:rPr>
          <w:rFonts w:ascii="Times New Roman" w:hAnsi="Times New Roman" w:cs="Times New Roman"/>
          <w:sz w:val="24"/>
          <w:szCs w:val="24"/>
        </w:rPr>
      </w:pPr>
    </w:p>
    <w:p w14:paraId="2964CC48" w14:textId="77777777" w:rsidR="00E40716" w:rsidRPr="00E24627" w:rsidRDefault="00E40716" w:rsidP="00E40716">
      <w:pPr>
        <w:jc w:val="both"/>
        <w:rPr>
          <w:rFonts w:cs="Arial"/>
          <w:b/>
        </w:rPr>
      </w:pPr>
    </w:p>
    <w:p w14:paraId="1AFDA639" w14:textId="77777777" w:rsidR="00E40716" w:rsidRPr="00E24627" w:rsidRDefault="00E40716" w:rsidP="00E40716">
      <w:pPr>
        <w:jc w:val="both"/>
        <w:rPr>
          <w:rFonts w:cs="Arial"/>
          <w:b/>
        </w:rPr>
      </w:pPr>
    </w:p>
    <w:p w14:paraId="0FDE97CD" w14:textId="77777777" w:rsidR="00E40716" w:rsidRPr="00E24627" w:rsidRDefault="00E40716" w:rsidP="00E40716">
      <w:pPr>
        <w:jc w:val="both"/>
        <w:rPr>
          <w:rFonts w:cs="Arial"/>
          <w:b/>
        </w:rPr>
      </w:pPr>
    </w:p>
    <w:p w14:paraId="697244B3" w14:textId="77777777" w:rsidR="00E40716" w:rsidRPr="00E24627" w:rsidRDefault="00E40716" w:rsidP="00E40716">
      <w:pPr>
        <w:jc w:val="both"/>
        <w:rPr>
          <w:rFonts w:cs="Arial"/>
          <w:b/>
        </w:rPr>
      </w:pPr>
    </w:p>
    <w:p w14:paraId="10664F23" w14:textId="77777777" w:rsidR="0000255F" w:rsidRDefault="0000255F" w:rsidP="00E40716">
      <w:pPr>
        <w:jc w:val="both"/>
        <w:rPr>
          <w:rFonts w:cs="Arial"/>
          <w:b/>
        </w:rPr>
        <w:sectPr w:rsidR="0000255F" w:rsidSect="0000255F">
          <w:pgSz w:w="11900" w:h="16840" w:code="9"/>
          <w:pgMar w:top="1440" w:right="1440" w:bottom="1440" w:left="1440" w:header="720" w:footer="720" w:gutter="0"/>
          <w:cols w:space="720"/>
          <w:docGrid w:linePitch="360"/>
        </w:sectPr>
      </w:pPr>
    </w:p>
    <w:p w14:paraId="5FC26DD4" w14:textId="77777777" w:rsidR="00E40716" w:rsidRPr="00E24627" w:rsidRDefault="00E40716" w:rsidP="00E40716">
      <w:pPr>
        <w:jc w:val="both"/>
        <w:rPr>
          <w:rFonts w:cs="Arial"/>
          <w:b/>
        </w:rPr>
      </w:pPr>
    </w:p>
    <w:p w14:paraId="0A32C305" w14:textId="77777777" w:rsidR="00E40716" w:rsidRPr="00F60A76" w:rsidRDefault="00E40716" w:rsidP="00E40716">
      <w:pPr>
        <w:jc w:val="both"/>
        <w:rPr>
          <w:rFonts w:ascii="Times New Roman" w:hAnsi="Times New Roman" w:cs="Times New Roman"/>
          <w:b/>
          <w:bCs/>
          <w:sz w:val="24"/>
          <w:szCs w:val="24"/>
        </w:rPr>
      </w:pPr>
      <w:r w:rsidRPr="00F60A76">
        <w:rPr>
          <w:rFonts w:ascii="Times New Roman" w:hAnsi="Times New Roman" w:cs="Times New Roman"/>
          <w:b/>
          <w:bCs/>
          <w:sz w:val="24"/>
          <w:szCs w:val="24"/>
        </w:rPr>
        <w:t>Table of Contents</w:t>
      </w:r>
    </w:p>
    <w:sdt>
      <w:sdtPr>
        <w:rPr>
          <w:rFonts w:ascii="Times New Roman" w:hAnsi="Times New Roman" w:cs="Times New Roman"/>
        </w:rPr>
        <w:id w:val="1090887335"/>
        <w:docPartObj>
          <w:docPartGallery w:val="Table of Contents"/>
          <w:docPartUnique/>
        </w:docPartObj>
      </w:sdtPr>
      <w:sdtEndPr/>
      <w:sdtContent>
        <w:p w14:paraId="579F7E7F" w14:textId="33AE7E4F" w:rsidR="001F7B0B" w:rsidRDefault="00E40716">
          <w:pPr>
            <w:pStyle w:val="TOC1"/>
            <w:rPr>
              <w:rFonts w:asciiTheme="minorHAnsi" w:eastAsiaTheme="minorEastAsia" w:hAnsiTheme="minorHAnsi"/>
              <w:noProof/>
            </w:rPr>
          </w:pPr>
          <w:r w:rsidRPr="00E71C48">
            <w:rPr>
              <w:rFonts w:ascii="Times New Roman" w:hAnsi="Times New Roman" w:cs="Times New Roman"/>
              <w:i/>
              <w:iCs/>
            </w:rPr>
            <w:fldChar w:fldCharType="begin"/>
          </w:r>
          <w:r w:rsidRPr="00E71C48">
            <w:rPr>
              <w:rFonts w:ascii="Times New Roman" w:hAnsi="Times New Roman" w:cs="Times New Roman"/>
              <w:b/>
              <w:bCs/>
              <w:i/>
              <w:iCs/>
            </w:rPr>
            <w:instrText xml:space="preserve"> TOC \o "1-3" \h \z \u </w:instrText>
          </w:r>
          <w:r w:rsidRPr="00E71C48">
            <w:rPr>
              <w:rFonts w:ascii="Times New Roman" w:hAnsi="Times New Roman" w:cs="Times New Roman"/>
              <w:i/>
              <w:iCs/>
            </w:rPr>
            <w:fldChar w:fldCharType="separate"/>
          </w:r>
          <w:hyperlink w:anchor="_Toc141127676" w:history="1">
            <w:r w:rsidR="001F7B0B" w:rsidRPr="0043739A">
              <w:rPr>
                <w:rStyle w:val="Hyperlink"/>
                <w:noProof/>
              </w:rPr>
              <w:t>1</w:t>
            </w:r>
            <w:r w:rsidR="001F7B0B">
              <w:rPr>
                <w:rFonts w:asciiTheme="minorHAnsi" w:eastAsiaTheme="minorEastAsia" w:hAnsiTheme="minorHAnsi"/>
                <w:noProof/>
              </w:rPr>
              <w:tab/>
            </w:r>
            <w:r w:rsidR="001F7B0B" w:rsidRPr="0043739A">
              <w:rPr>
                <w:rStyle w:val="Hyperlink"/>
                <w:noProof/>
              </w:rPr>
              <w:t>INTRODUCTION</w:t>
            </w:r>
            <w:r w:rsidR="001F7B0B">
              <w:rPr>
                <w:noProof/>
                <w:webHidden/>
              </w:rPr>
              <w:tab/>
            </w:r>
            <w:r w:rsidR="001F7B0B">
              <w:rPr>
                <w:noProof/>
                <w:webHidden/>
              </w:rPr>
              <w:fldChar w:fldCharType="begin"/>
            </w:r>
            <w:r w:rsidR="001F7B0B">
              <w:rPr>
                <w:noProof/>
                <w:webHidden/>
              </w:rPr>
              <w:instrText xml:space="preserve"> PAGEREF _Toc141127676 \h </w:instrText>
            </w:r>
            <w:r w:rsidR="001F7B0B">
              <w:rPr>
                <w:noProof/>
                <w:webHidden/>
              </w:rPr>
            </w:r>
            <w:r w:rsidR="001F7B0B">
              <w:rPr>
                <w:noProof/>
                <w:webHidden/>
              </w:rPr>
              <w:fldChar w:fldCharType="separate"/>
            </w:r>
            <w:r w:rsidR="001F7B0B">
              <w:rPr>
                <w:noProof/>
                <w:webHidden/>
              </w:rPr>
              <w:t>6</w:t>
            </w:r>
            <w:r w:rsidR="001F7B0B">
              <w:rPr>
                <w:noProof/>
                <w:webHidden/>
              </w:rPr>
              <w:fldChar w:fldCharType="end"/>
            </w:r>
          </w:hyperlink>
        </w:p>
        <w:p w14:paraId="1CC4A654" w14:textId="68A6D508" w:rsidR="001F7B0B" w:rsidRDefault="009F2822">
          <w:pPr>
            <w:pStyle w:val="TOC2"/>
            <w:rPr>
              <w:rFonts w:asciiTheme="minorHAnsi" w:eastAsiaTheme="minorEastAsia" w:hAnsiTheme="minorHAnsi"/>
              <w:noProof/>
            </w:rPr>
          </w:pPr>
          <w:hyperlink w:anchor="_Toc141127677" w:history="1">
            <w:r w:rsidR="001F7B0B" w:rsidRPr="0043739A">
              <w:rPr>
                <w:rStyle w:val="Hyperlink"/>
                <w:noProof/>
              </w:rPr>
              <w:t>1.1</w:t>
            </w:r>
            <w:r w:rsidR="001F7B0B">
              <w:rPr>
                <w:rFonts w:asciiTheme="minorHAnsi" w:eastAsiaTheme="minorEastAsia" w:hAnsiTheme="minorHAnsi"/>
                <w:noProof/>
              </w:rPr>
              <w:tab/>
            </w:r>
            <w:r w:rsidR="001F7B0B" w:rsidRPr="0043739A">
              <w:rPr>
                <w:rStyle w:val="Hyperlink"/>
                <w:noProof/>
              </w:rPr>
              <w:t>Project Description</w:t>
            </w:r>
            <w:r w:rsidR="001F7B0B">
              <w:rPr>
                <w:noProof/>
                <w:webHidden/>
              </w:rPr>
              <w:tab/>
            </w:r>
            <w:r w:rsidR="001F7B0B">
              <w:rPr>
                <w:noProof/>
                <w:webHidden/>
              </w:rPr>
              <w:fldChar w:fldCharType="begin"/>
            </w:r>
            <w:r w:rsidR="001F7B0B">
              <w:rPr>
                <w:noProof/>
                <w:webHidden/>
              </w:rPr>
              <w:instrText xml:space="preserve"> PAGEREF _Toc141127677 \h </w:instrText>
            </w:r>
            <w:r w:rsidR="001F7B0B">
              <w:rPr>
                <w:noProof/>
                <w:webHidden/>
              </w:rPr>
            </w:r>
            <w:r w:rsidR="001F7B0B">
              <w:rPr>
                <w:noProof/>
                <w:webHidden/>
              </w:rPr>
              <w:fldChar w:fldCharType="separate"/>
            </w:r>
            <w:r w:rsidR="001F7B0B">
              <w:rPr>
                <w:noProof/>
                <w:webHidden/>
              </w:rPr>
              <w:t>6</w:t>
            </w:r>
            <w:r w:rsidR="001F7B0B">
              <w:rPr>
                <w:noProof/>
                <w:webHidden/>
              </w:rPr>
              <w:fldChar w:fldCharType="end"/>
            </w:r>
          </w:hyperlink>
        </w:p>
        <w:p w14:paraId="3F2DB656" w14:textId="59EED0DE" w:rsidR="001F7B0B" w:rsidRDefault="009F2822">
          <w:pPr>
            <w:pStyle w:val="TOC2"/>
            <w:rPr>
              <w:rFonts w:asciiTheme="minorHAnsi" w:eastAsiaTheme="minorEastAsia" w:hAnsiTheme="minorHAnsi"/>
              <w:noProof/>
            </w:rPr>
          </w:pPr>
          <w:hyperlink w:anchor="_Toc141127678" w:history="1">
            <w:r w:rsidR="001F7B0B" w:rsidRPr="0043739A">
              <w:rPr>
                <w:rStyle w:val="Hyperlink"/>
                <w:noProof/>
              </w:rPr>
              <w:t>1.2</w:t>
            </w:r>
            <w:r w:rsidR="001F7B0B">
              <w:rPr>
                <w:rFonts w:asciiTheme="minorHAnsi" w:eastAsiaTheme="minorEastAsia" w:hAnsiTheme="minorHAnsi"/>
                <w:noProof/>
              </w:rPr>
              <w:tab/>
            </w:r>
            <w:r w:rsidR="001F7B0B" w:rsidRPr="0043739A">
              <w:rPr>
                <w:rStyle w:val="Hyperlink"/>
                <w:noProof/>
              </w:rPr>
              <w:t>Project Component</w:t>
            </w:r>
            <w:r w:rsidR="001F7B0B">
              <w:rPr>
                <w:noProof/>
                <w:webHidden/>
              </w:rPr>
              <w:tab/>
            </w:r>
            <w:r w:rsidR="001F7B0B">
              <w:rPr>
                <w:noProof/>
                <w:webHidden/>
              </w:rPr>
              <w:fldChar w:fldCharType="begin"/>
            </w:r>
            <w:r w:rsidR="001F7B0B">
              <w:rPr>
                <w:noProof/>
                <w:webHidden/>
              </w:rPr>
              <w:instrText xml:space="preserve"> PAGEREF _Toc141127678 \h </w:instrText>
            </w:r>
            <w:r w:rsidR="001F7B0B">
              <w:rPr>
                <w:noProof/>
                <w:webHidden/>
              </w:rPr>
            </w:r>
            <w:r w:rsidR="001F7B0B">
              <w:rPr>
                <w:noProof/>
                <w:webHidden/>
              </w:rPr>
              <w:fldChar w:fldCharType="separate"/>
            </w:r>
            <w:r w:rsidR="001F7B0B">
              <w:rPr>
                <w:noProof/>
                <w:webHidden/>
              </w:rPr>
              <w:t>6</w:t>
            </w:r>
            <w:r w:rsidR="001F7B0B">
              <w:rPr>
                <w:noProof/>
                <w:webHidden/>
              </w:rPr>
              <w:fldChar w:fldCharType="end"/>
            </w:r>
          </w:hyperlink>
        </w:p>
        <w:p w14:paraId="57B8E891" w14:textId="5D52CF0C" w:rsidR="001F7B0B" w:rsidRDefault="009F2822">
          <w:pPr>
            <w:pStyle w:val="TOC3"/>
            <w:rPr>
              <w:rFonts w:asciiTheme="minorHAnsi" w:eastAsiaTheme="minorEastAsia" w:hAnsiTheme="minorHAnsi"/>
              <w:noProof/>
            </w:rPr>
          </w:pPr>
          <w:hyperlink w:anchor="_Toc141127679" w:history="1">
            <w:r w:rsidR="001F7B0B" w:rsidRPr="0043739A">
              <w:rPr>
                <w:rStyle w:val="Hyperlink"/>
                <w:bCs/>
                <w:noProof/>
              </w:rPr>
              <w:t>1.2.1</w:t>
            </w:r>
            <w:r w:rsidR="001F7B0B">
              <w:rPr>
                <w:rFonts w:asciiTheme="minorHAnsi" w:eastAsiaTheme="minorEastAsia" w:hAnsiTheme="minorHAnsi"/>
                <w:noProof/>
              </w:rPr>
              <w:tab/>
            </w:r>
            <w:r w:rsidR="001F7B0B" w:rsidRPr="0043739A">
              <w:rPr>
                <w:rStyle w:val="Hyperlink"/>
                <w:noProof/>
              </w:rPr>
              <w:t xml:space="preserve">Component 1: </w:t>
            </w:r>
            <w:r w:rsidR="001F7B0B" w:rsidRPr="0043739A">
              <w:rPr>
                <w:rStyle w:val="Hyperlink"/>
                <w:bCs/>
                <w:noProof/>
              </w:rPr>
              <w:t xml:space="preserve">Broadband Infrastructure and Access </w:t>
            </w:r>
            <w:r w:rsidR="001F7B0B" w:rsidRPr="0043739A">
              <w:rPr>
                <w:rStyle w:val="Hyperlink"/>
                <w:noProof/>
              </w:rPr>
              <w:t>(US$320 million, including US$190 million equivalent from IDA SUW; US$10 million equivalent from national IDA, US$20 million equivalent from Regional IDA, and US$100 million expected in unguaranteed commercial financing)</w:t>
            </w:r>
            <w:r w:rsidR="001F7B0B">
              <w:rPr>
                <w:noProof/>
                <w:webHidden/>
              </w:rPr>
              <w:tab/>
            </w:r>
            <w:r w:rsidR="001F7B0B">
              <w:rPr>
                <w:noProof/>
                <w:webHidden/>
              </w:rPr>
              <w:fldChar w:fldCharType="begin"/>
            </w:r>
            <w:r w:rsidR="001F7B0B">
              <w:rPr>
                <w:noProof/>
                <w:webHidden/>
              </w:rPr>
              <w:instrText xml:space="preserve"> PAGEREF _Toc141127679 \h </w:instrText>
            </w:r>
            <w:r w:rsidR="001F7B0B">
              <w:rPr>
                <w:noProof/>
                <w:webHidden/>
              </w:rPr>
            </w:r>
            <w:r w:rsidR="001F7B0B">
              <w:rPr>
                <w:noProof/>
                <w:webHidden/>
              </w:rPr>
              <w:fldChar w:fldCharType="separate"/>
            </w:r>
            <w:r w:rsidR="001F7B0B">
              <w:rPr>
                <w:noProof/>
                <w:webHidden/>
              </w:rPr>
              <w:t>6</w:t>
            </w:r>
            <w:r w:rsidR="001F7B0B">
              <w:rPr>
                <w:noProof/>
                <w:webHidden/>
              </w:rPr>
              <w:fldChar w:fldCharType="end"/>
            </w:r>
          </w:hyperlink>
        </w:p>
        <w:p w14:paraId="6BBEEF05" w14:textId="28A0AEEC" w:rsidR="001F7B0B" w:rsidRDefault="009F2822">
          <w:pPr>
            <w:pStyle w:val="TOC3"/>
            <w:rPr>
              <w:rFonts w:asciiTheme="minorHAnsi" w:eastAsiaTheme="minorEastAsia" w:hAnsiTheme="minorHAnsi"/>
              <w:noProof/>
            </w:rPr>
          </w:pPr>
          <w:hyperlink w:anchor="_Toc141127680" w:history="1">
            <w:r w:rsidR="001F7B0B" w:rsidRPr="0043739A">
              <w:rPr>
                <w:rStyle w:val="Hyperlink"/>
                <w:noProof/>
              </w:rPr>
              <w:t>1.2.2</w:t>
            </w:r>
            <w:r w:rsidR="001F7B0B">
              <w:rPr>
                <w:rFonts w:asciiTheme="minorHAnsi" w:eastAsiaTheme="minorEastAsia" w:hAnsiTheme="minorHAnsi"/>
                <w:noProof/>
              </w:rPr>
              <w:tab/>
            </w:r>
            <w:r w:rsidR="001F7B0B" w:rsidRPr="0043739A">
              <w:rPr>
                <w:rStyle w:val="Hyperlink"/>
                <w:noProof/>
              </w:rPr>
              <w:t xml:space="preserve">Component 2 : </w:t>
            </w:r>
            <w:r w:rsidR="001F7B0B" w:rsidRPr="0043739A">
              <w:rPr>
                <w:rStyle w:val="Hyperlink"/>
                <w:rFonts w:cstheme="minorHAnsi"/>
                <w:noProof/>
              </w:rPr>
              <w:t>Digital Government and Services</w:t>
            </w:r>
            <w:r w:rsidR="001F7B0B" w:rsidRPr="0043739A">
              <w:rPr>
                <w:rStyle w:val="Hyperlink"/>
                <w:noProof/>
              </w:rPr>
              <w:t xml:space="preserve"> (US$104 million IDA</w:t>
            </w:r>
            <w:r w:rsidR="001F7B0B" w:rsidRPr="0043739A">
              <w:rPr>
                <w:rStyle w:val="Hyperlink"/>
                <w:rFonts w:cstheme="minorHAnsi"/>
                <w:noProof/>
              </w:rPr>
              <w:t xml:space="preserve"> equivalent</w:t>
            </w:r>
            <w:r w:rsidR="001F7B0B" w:rsidRPr="0043739A">
              <w:rPr>
                <w:rStyle w:val="Hyperlink"/>
                <w:noProof/>
              </w:rPr>
              <w:t>, of which US$89 million from IDA SUW, US$5 million from national IDA and US$10 million from Regional IDA)</w:t>
            </w:r>
            <w:r w:rsidR="001F7B0B">
              <w:rPr>
                <w:noProof/>
                <w:webHidden/>
              </w:rPr>
              <w:tab/>
            </w:r>
            <w:r w:rsidR="001F7B0B">
              <w:rPr>
                <w:noProof/>
                <w:webHidden/>
              </w:rPr>
              <w:fldChar w:fldCharType="begin"/>
            </w:r>
            <w:r w:rsidR="001F7B0B">
              <w:rPr>
                <w:noProof/>
                <w:webHidden/>
              </w:rPr>
              <w:instrText xml:space="preserve"> PAGEREF _Toc141127680 \h </w:instrText>
            </w:r>
            <w:r w:rsidR="001F7B0B">
              <w:rPr>
                <w:noProof/>
                <w:webHidden/>
              </w:rPr>
            </w:r>
            <w:r w:rsidR="001F7B0B">
              <w:rPr>
                <w:noProof/>
                <w:webHidden/>
              </w:rPr>
              <w:fldChar w:fldCharType="separate"/>
            </w:r>
            <w:r w:rsidR="001F7B0B">
              <w:rPr>
                <w:noProof/>
                <w:webHidden/>
              </w:rPr>
              <w:t>7</w:t>
            </w:r>
            <w:r w:rsidR="001F7B0B">
              <w:rPr>
                <w:noProof/>
                <w:webHidden/>
              </w:rPr>
              <w:fldChar w:fldCharType="end"/>
            </w:r>
          </w:hyperlink>
        </w:p>
        <w:p w14:paraId="16E485AF" w14:textId="27515B23" w:rsidR="001F7B0B" w:rsidRDefault="009F2822">
          <w:pPr>
            <w:pStyle w:val="TOC3"/>
            <w:rPr>
              <w:rFonts w:asciiTheme="minorHAnsi" w:eastAsiaTheme="minorEastAsia" w:hAnsiTheme="minorHAnsi"/>
              <w:noProof/>
            </w:rPr>
          </w:pPr>
          <w:hyperlink w:anchor="_Toc141127681" w:history="1">
            <w:r w:rsidR="001F7B0B" w:rsidRPr="0043739A">
              <w:rPr>
                <w:rStyle w:val="Hyperlink"/>
                <w:noProof/>
              </w:rPr>
              <w:t>1.2.3</w:t>
            </w:r>
            <w:r w:rsidR="001F7B0B">
              <w:rPr>
                <w:rFonts w:asciiTheme="minorHAnsi" w:eastAsiaTheme="minorEastAsia" w:hAnsiTheme="minorHAnsi"/>
                <w:noProof/>
              </w:rPr>
              <w:tab/>
            </w:r>
            <w:r w:rsidR="001F7B0B" w:rsidRPr="0043739A">
              <w:rPr>
                <w:rStyle w:val="Hyperlink"/>
                <w:noProof/>
              </w:rPr>
              <w:t>Component 3:</w:t>
            </w:r>
            <w:r w:rsidR="001F7B0B" w:rsidRPr="0043739A">
              <w:rPr>
                <w:rStyle w:val="Hyperlink"/>
                <w:rFonts w:cstheme="minorHAnsi"/>
                <w:noProof/>
              </w:rPr>
              <w:t>Digital Skills and Markets (</w:t>
            </w:r>
            <w:r w:rsidR="001F7B0B" w:rsidRPr="0043739A">
              <w:rPr>
                <w:rStyle w:val="Hyperlink"/>
                <w:noProof/>
              </w:rPr>
              <w:t>US$51 million</w:t>
            </w:r>
            <w:r w:rsidR="001F7B0B" w:rsidRPr="0043739A">
              <w:rPr>
                <w:rStyle w:val="Hyperlink"/>
                <w:rFonts w:cstheme="minorHAnsi"/>
                <w:bCs/>
                <w:noProof/>
              </w:rPr>
              <w:t xml:space="preserve"> equivalent</w:t>
            </w:r>
            <w:r w:rsidR="001F7B0B" w:rsidRPr="0043739A">
              <w:rPr>
                <w:rStyle w:val="Hyperlink"/>
                <w:noProof/>
              </w:rPr>
              <w:t>, of which US$36 million from IDA SUW, and US$10 million from regional IDA and US$5 million from national IDA)</w:t>
            </w:r>
            <w:r w:rsidR="001F7B0B">
              <w:rPr>
                <w:noProof/>
                <w:webHidden/>
              </w:rPr>
              <w:tab/>
            </w:r>
            <w:r w:rsidR="001F7B0B">
              <w:rPr>
                <w:noProof/>
                <w:webHidden/>
              </w:rPr>
              <w:fldChar w:fldCharType="begin"/>
            </w:r>
            <w:r w:rsidR="001F7B0B">
              <w:rPr>
                <w:noProof/>
                <w:webHidden/>
              </w:rPr>
              <w:instrText xml:space="preserve"> PAGEREF _Toc141127681 \h </w:instrText>
            </w:r>
            <w:r w:rsidR="001F7B0B">
              <w:rPr>
                <w:noProof/>
                <w:webHidden/>
              </w:rPr>
            </w:r>
            <w:r w:rsidR="001F7B0B">
              <w:rPr>
                <w:noProof/>
                <w:webHidden/>
              </w:rPr>
              <w:fldChar w:fldCharType="separate"/>
            </w:r>
            <w:r w:rsidR="001F7B0B">
              <w:rPr>
                <w:noProof/>
                <w:webHidden/>
              </w:rPr>
              <w:t>7</w:t>
            </w:r>
            <w:r w:rsidR="001F7B0B">
              <w:rPr>
                <w:noProof/>
                <w:webHidden/>
              </w:rPr>
              <w:fldChar w:fldCharType="end"/>
            </w:r>
          </w:hyperlink>
        </w:p>
        <w:p w14:paraId="57E94F95" w14:textId="09ADF892" w:rsidR="001F7B0B" w:rsidRDefault="009F2822">
          <w:pPr>
            <w:pStyle w:val="TOC3"/>
            <w:rPr>
              <w:rFonts w:asciiTheme="minorHAnsi" w:eastAsiaTheme="minorEastAsia" w:hAnsiTheme="minorHAnsi"/>
              <w:noProof/>
            </w:rPr>
          </w:pPr>
          <w:hyperlink w:anchor="_Toc141127682" w:history="1">
            <w:r w:rsidR="001F7B0B" w:rsidRPr="0043739A">
              <w:rPr>
                <w:rStyle w:val="Hyperlink"/>
                <w:noProof/>
                <w:highlight w:val="white"/>
              </w:rPr>
              <w:t>1.2.4</w:t>
            </w:r>
            <w:r w:rsidR="001F7B0B">
              <w:rPr>
                <w:rFonts w:asciiTheme="minorHAnsi" w:eastAsiaTheme="minorEastAsia" w:hAnsiTheme="minorHAnsi"/>
                <w:noProof/>
              </w:rPr>
              <w:tab/>
            </w:r>
            <w:r w:rsidR="001F7B0B" w:rsidRPr="0043739A">
              <w:rPr>
                <w:rStyle w:val="Hyperlink"/>
                <w:noProof/>
                <w:highlight w:val="white"/>
              </w:rPr>
              <w:t>Component 4: Project Management (US$10 million)</w:t>
            </w:r>
            <w:r w:rsidR="001F7B0B">
              <w:rPr>
                <w:noProof/>
                <w:webHidden/>
              </w:rPr>
              <w:tab/>
            </w:r>
            <w:r w:rsidR="001F7B0B">
              <w:rPr>
                <w:noProof/>
                <w:webHidden/>
              </w:rPr>
              <w:fldChar w:fldCharType="begin"/>
            </w:r>
            <w:r w:rsidR="001F7B0B">
              <w:rPr>
                <w:noProof/>
                <w:webHidden/>
              </w:rPr>
              <w:instrText xml:space="preserve"> PAGEREF _Toc141127682 \h </w:instrText>
            </w:r>
            <w:r w:rsidR="001F7B0B">
              <w:rPr>
                <w:noProof/>
                <w:webHidden/>
              </w:rPr>
            </w:r>
            <w:r w:rsidR="001F7B0B">
              <w:rPr>
                <w:noProof/>
                <w:webHidden/>
              </w:rPr>
              <w:fldChar w:fldCharType="separate"/>
            </w:r>
            <w:r w:rsidR="001F7B0B">
              <w:rPr>
                <w:noProof/>
                <w:webHidden/>
              </w:rPr>
              <w:t>8</w:t>
            </w:r>
            <w:r w:rsidR="001F7B0B">
              <w:rPr>
                <w:noProof/>
                <w:webHidden/>
              </w:rPr>
              <w:fldChar w:fldCharType="end"/>
            </w:r>
          </w:hyperlink>
        </w:p>
        <w:p w14:paraId="2C9EEC22" w14:textId="50F7AC7B" w:rsidR="001F7B0B" w:rsidRDefault="009F2822">
          <w:pPr>
            <w:pStyle w:val="TOC3"/>
            <w:rPr>
              <w:rFonts w:asciiTheme="minorHAnsi" w:eastAsiaTheme="minorEastAsia" w:hAnsiTheme="minorHAnsi"/>
              <w:noProof/>
            </w:rPr>
          </w:pPr>
          <w:hyperlink w:anchor="_Toc141127683" w:history="1">
            <w:r w:rsidR="001F7B0B" w:rsidRPr="0043739A">
              <w:rPr>
                <w:rStyle w:val="Hyperlink"/>
                <w:noProof/>
                <w:highlight w:val="white"/>
              </w:rPr>
              <w:t>1.2.5</w:t>
            </w:r>
            <w:r w:rsidR="001F7B0B">
              <w:rPr>
                <w:rFonts w:asciiTheme="minorHAnsi" w:eastAsiaTheme="minorEastAsia" w:hAnsiTheme="minorHAnsi"/>
                <w:noProof/>
              </w:rPr>
              <w:tab/>
            </w:r>
            <w:r w:rsidR="001F7B0B" w:rsidRPr="0043739A">
              <w:rPr>
                <w:rStyle w:val="Hyperlink"/>
                <w:noProof/>
                <w:highlight w:val="white"/>
              </w:rPr>
              <w:t>Component 5: Contingent Emergency Response Component (CERC) (US$0)</w:t>
            </w:r>
            <w:r w:rsidR="001F7B0B">
              <w:rPr>
                <w:noProof/>
                <w:webHidden/>
              </w:rPr>
              <w:tab/>
            </w:r>
            <w:r w:rsidR="001F7B0B">
              <w:rPr>
                <w:noProof/>
                <w:webHidden/>
              </w:rPr>
              <w:fldChar w:fldCharType="begin"/>
            </w:r>
            <w:r w:rsidR="001F7B0B">
              <w:rPr>
                <w:noProof/>
                <w:webHidden/>
              </w:rPr>
              <w:instrText xml:space="preserve"> PAGEREF _Toc141127683 \h </w:instrText>
            </w:r>
            <w:r w:rsidR="001F7B0B">
              <w:rPr>
                <w:noProof/>
                <w:webHidden/>
              </w:rPr>
            </w:r>
            <w:r w:rsidR="001F7B0B">
              <w:rPr>
                <w:noProof/>
                <w:webHidden/>
              </w:rPr>
              <w:fldChar w:fldCharType="separate"/>
            </w:r>
            <w:r w:rsidR="001F7B0B">
              <w:rPr>
                <w:noProof/>
                <w:webHidden/>
              </w:rPr>
              <w:t>8</w:t>
            </w:r>
            <w:r w:rsidR="001F7B0B">
              <w:rPr>
                <w:noProof/>
                <w:webHidden/>
              </w:rPr>
              <w:fldChar w:fldCharType="end"/>
            </w:r>
          </w:hyperlink>
        </w:p>
        <w:p w14:paraId="67D5A87E" w14:textId="5C5CE9C4" w:rsidR="001F7B0B" w:rsidRDefault="009F2822">
          <w:pPr>
            <w:pStyle w:val="TOC1"/>
            <w:rPr>
              <w:rFonts w:asciiTheme="minorHAnsi" w:eastAsiaTheme="minorEastAsia" w:hAnsiTheme="minorHAnsi"/>
              <w:noProof/>
            </w:rPr>
          </w:pPr>
          <w:hyperlink w:anchor="_Toc141127684" w:history="1">
            <w:r w:rsidR="001F7B0B" w:rsidRPr="0043739A">
              <w:rPr>
                <w:rStyle w:val="Hyperlink"/>
                <w:noProof/>
              </w:rPr>
              <w:t>2</w:t>
            </w:r>
            <w:r w:rsidR="001F7B0B">
              <w:rPr>
                <w:rFonts w:asciiTheme="minorHAnsi" w:eastAsiaTheme="minorEastAsia" w:hAnsiTheme="minorHAnsi"/>
                <w:noProof/>
              </w:rPr>
              <w:tab/>
            </w:r>
            <w:r w:rsidR="001F7B0B" w:rsidRPr="0043739A">
              <w:rPr>
                <w:rStyle w:val="Hyperlink"/>
                <w:noProof/>
              </w:rPr>
              <w:t>KENYA COUNTRY CONTEXT</w:t>
            </w:r>
            <w:r w:rsidR="001F7B0B">
              <w:rPr>
                <w:noProof/>
                <w:webHidden/>
              </w:rPr>
              <w:tab/>
            </w:r>
            <w:r w:rsidR="001F7B0B">
              <w:rPr>
                <w:noProof/>
                <w:webHidden/>
              </w:rPr>
              <w:fldChar w:fldCharType="begin"/>
            </w:r>
            <w:r w:rsidR="001F7B0B">
              <w:rPr>
                <w:noProof/>
                <w:webHidden/>
              </w:rPr>
              <w:instrText xml:space="preserve"> PAGEREF _Toc141127684 \h </w:instrText>
            </w:r>
            <w:r w:rsidR="001F7B0B">
              <w:rPr>
                <w:noProof/>
                <w:webHidden/>
              </w:rPr>
            </w:r>
            <w:r w:rsidR="001F7B0B">
              <w:rPr>
                <w:noProof/>
                <w:webHidden/>
              </w:rPr>
              <w:fldChar w:fldCharType="separate"/>
            </w:r>
            <w:r w:rsidR="001F7B0B">
              <w:rPr>
                <w:noProof/>
                <w:webHidden/>
              </w:rPr>
              <w:t>9</w:t>
            </w:r>
            <w:r w:rsidR="001F7B0B">
              <w:rPr>
                <w:noProof/>
                <w:webHidden/>
              </w:rPr>
              <w:fldChar w:fldCharType="end"/>
            </w:r>
          </w:hyperlink>
        </w:p>
        <w:p w14:paraId="0AADE94E" w14:textId="030DFDFB" w:rsidR="001F7B0B" w:rsidRDefault="009F2822">
          <w:pPr>
            <w:pStyle w:val="TOC2"/>
            <w:rPr>
              <w:rFonts w:asciiTheme="minorHAnsi" w:eastAsiaTheme="minorEastAsia" w:hAnsiTheme="minorHAnsi"/>
              <w:noProof/>
            </w:rPr>
          </w:pPr>
          <w:hyperlink w:anchor="_Toc141127685" w:history="1">
            <w:r w:rsidR="001F7B0B" w:rsidRPr="0043739A">
              <w:rPr>
                <w:rStyle w:val="Hyperlink"/>
                <w:noProof/>
              </w:rPr>
              <w:t>2.1</w:t>
            </w:r>
            <w:r w:rsidR="001F7B0B">
              <w:rPr>
                <w:rFonts w:asciiTheme="minorHAnsi" w:eastAsiaTheme="minorEastAsia" w:hAnsiTheme="minorHAnsi"/>
                <w:noProof/>
              </w:rPr>
              <w:tab/>
            </w:r>
            <w:r w:rsidR="001F7B0B" w:rsidRPr="0043739A">
              <w:rPr>
                <w:rStyle w:val="Hyperlink"/>
                <w:noProof/>
              </w:rPr>
              <w:t>Kenya Gender Based Violence Prevalence Rates</w:t>
            </w:r>
            <w:r w:rsidR="001F7B0B">
              <w:rPr>
                <w:noProof/>
                <w:webHidden/>
              </w:rPr>
              <w:tab/>
            </w:r>
            <w:r w:rsidR="001F7B0B">
              <w:rPr>
                <w:noProof/>
                <w:webHidden/>
              </w:rPr>
              <w:fldChar w:fldCharType="begin"/>
            </w:r>
            <w:r w:rsidR="001F7B0B">
              <w:rPr>
                <w:noProof/>
                <w:webHidden/>
              </w:rPr>
              <w:instrText xml:space="preserve"> PAGEREF _Toc141127685 \h </w:instrText>
            </w:r>
            <w:r w:rsidR="001F7B0B">
              <w:rPr>
                <w:noProof/>
                <w:webHidden/>
              </w:rPr>
            </w:r>
            <w:r w:rsidR="001F7B0B">
              <w:rPr>
                <w:noProof/>
                <w:webHidden/>
              </w:rPr>
              <w:fldChar w:fldCharType="separate"/>
            </w:r>
            <w:r w:rsidR="001F7B0B">
              <w:rPr>
                <w:noProof/>
                <w:webHidden/>
              </w:rPr>
              <w:t>9</w:t>
            </w:r>
            <w:r w:rsidR="001F7B0B">
              <w:rPr>
                <w:noProof/>
                <w:webHidden/>
              </w:rPr>
              <w:fldChar w:fldCharType="end"/>
            </w:r>
          </w:hyperlink>
        </w:p>
        <w:p w14:paraId="4CDC0EA8" w14:textId="7A22A1BE" w:rsidR="001F7B0B" w:rsidRDefault="009F2822">
          <w:pPr>
            <w:pStyle w:val="TOC2"/>
            <w:rPr>
              <w:rFonts w:asciiTheme="minorHAnsi" w:eastAsiaTheme="minorEastAsia" w:hAnsiTheme="minorHAnsi"/>
              <w:noProof/>
            </w:rPr>
          </w:pPr>
          <w:hyperlink w:anchor="_Toc141127686" w:history="1">
            <w:r w:rsidR="001F7B0B" w:rsidRPr="0043739A">
              <w:rPr>
                <w:rStyle w:val="Hyperlink"/>
                <w:noProof/>
              </w:rPr>
              <w:t>2.2</w:t>
            </w:r>
            <w:r w:rsidR="001F7B0B">
              <w:rPr>
                <w:rFonts w:asciiTheme="minorHAnsi" w:eastAsiaTheme="minorEastAsia" w:hAnsiTheme="minorHAnsi"/>
                <w:noProof/>
              </w:rPr>
              <w:tab/>
            </w:r>
            <w:r w:rsidR="001F7B0B" w:rsidRPr="0043739A">
              <w:rPr>
                <w:rStyle w:val="Hyperlink"/>
                <w:noProof/>
              </w:rPr>
              <w:t>Legal Framework for GBV (SEA/SH) in Kenya</w:t>
            </w:r>
            <w:r w:rsidR="001F7B0B">
              <w:rPr>
                <w:noProof/>
                <w:webHidden/>
              </w:rPr>
              <w:tab/>
            </w:r>
            <w:r w:rsidR="001F7B0B">
              <w:rPr>
                <w:noProof/>
                <w:webHidden/>
              </w:rPr>
              <w:fldChar w:fldCharType="begin"/>
            </w:r>
            <w:r w:rsidR="001F7B0B">
              <w:rPr>
                <w:noProof/>
                <w:webHidden/>
              </w:rPr>
              <w:instrText xml:space="preserve"> PAGEREF _Toc141127686 \h </w:instrText>
            </w:r>
            <w:r w:rsidR="001F7B0B">
              <w:rPr>
                <w:noProof/>
                <w:webHidden/>
              </w:rPr>
            </w:r>
            <w:r w:rsidR="001F7B0B">
              <w:rPr>
                <w:noProof/>
                <w:webHidden/>
              </w:rPr>
              <w:fldChar w:fldCharType="separate"/>
            </w:r>
            <w:r w:rsidR="001F7B0B">
              <w:rPr>
                <w:noProof/>
                <w:webHidden/>
              </w:rPr>
              <w:t>9</w:t>
            </w:r>
            <w:r w:rsidR="001F7B0B">
              <w:rPr>
                <w:noProof/>
                <w:webHidden/>
              </w:rPr>
              <w:fldChar w:fldCharType="end"/>
            </w:r>
          </w:hyperlink>
        </w:p>
        <w:p w14:paraId="312B1B26" w14:textId="3751CA36" w:rsidR="001F7B0B" w:rsidRDefault="009F2822">
          <w:pPr>
            <w:pStyle w:val="TOC2"/>
            <w:rPr>
              <w:rFonts w:asciiTheme="minorHAnsi" w:eastAsiaTheme="minorEastAsia" w:hAnsiTheme="minorHAnsi"/>
              <w:noProof/>
            </w:rPr>
          </w:pPr>
          <w:hyperlink w:anchor="_Toc141127687" w:history="1">
            <w:r w:rsidR="001F7B0B" w:rsidRPr="0043739A">
              <w:rPr>
                <w:rStyle w:val="Hyperlink"/>
                <w:noProof/>
              </w:rPr>
              <w:t>2.3</w:t>
            </w:r>
            <w:r w:rsidR="001F7B0B">
              <w:rPr>
                <w:rFonts w:asciiTheme="minorHAnsi" w:eastAsiaTheme="minorEastAsia" w:hAnsiTheme="minorHAnsi"/>
                <w:noProof/>
              </w:rPr>
              <w:tab/>
            </w:r>
            <w:r w:rsidR="001F7B0B" w:rsidRPr="0043739A">
              <w:rPr>
                <w:rStyle w:val="Hyperlink"/>
                <w:noProof/>
              </w:rPr>
              <w:t>International Treaties</w:t>
            </w:r>
            <w:r w:rsidR="001F7B0B">
              <w:rPr>
                <w:noProof/>
                <w:webHidden/>
              </w:rPr>
              <w:tab/>
            </w:r>
            <w:r w:rsidR="001F7B0B">
              <w:rPr>
                <w:noProof/>
                <w:webHidden/>
              </w:rPr>
              <w:fldChar w:fldCharType="begin"/>
            </w:r>
            <w:r w:rsidR="001F7B0B">
              <w:rPr>
                <w:noProof/>
                <w:webHidden/>
              </w:rPr>
              <w:instrText xml:space="preserve"> PAGEREF _Toc141127687 \h </w:instrText>
            </w:r>
            <w:r w:rsidR="001F7B0B">
              <w:rPr>
                <w:noProof/>
                <w:webHidden/>
              </w:rPr>
            </w:r>
            <w:r w:rsidR="001F7B0B">
              <w:rPr>
                <w:noProof/>
                <w:webHidden/>
              </w:rPr>
              <w:fldChar w:fldCharType="separate"/>
            </w:r>
            <w:r w:rsidR="001F7B0B">
              <w:rPr>
                <w:noProof/>
                <w:webHidden/>
              </w:rPr>
              <w:t>10</w:t>
            </w:r>
            <w:r w:rsidR="001F7B0B">
              <w:rPr>
                <w:noProof/>
                <w:webHidden/>
              </w:rPr>
              <w:fldChar w:fldCharType="end"/>
            </w:r>
          </w:hyperlink>
        </w:p>
        <w:p w14:paraId="5DBD4BA8" w14:textId="3E620763" w:rsidR="001F7B0B" w:rsidRDefault="009F2822">
          <w:pPr>
            <w:pStyle w:val="TOC1"/>
            <w:rPr>
              <w:rFonts w:asciiTheme="minorHAnsi" w:eastAsiaTheme="minorEastAsia" w:hAnsiTheme="minorHAnsi"/>
              <w:noProof/>
            </w:rPr>
          </w:pPr>
          <w:hyperlink w:anchor="_Toc141127688" w:history="1">
            <w:r w:rsidR="001F7B0B" w:rsidRPr="0043739A">
              <w:rPr>
                <w:rStyle w:val="Hyperlink"/>
                <w:noProof/>
              </w:rPr>
              <w:t>3</w:t>
            </w:r>
            <w:r w:rsidR="001F7B0B">
              <w:rPr>
                <w:rFonts w:asciiTheme="minorHAnsi" w:eastAsiaTheme="minorEastAsia" w:hAnsiTheme="minorHAnsi"/>
                <w:noProof/>
              </w:rPr>
              <w:tab/>
            </w:r>
            <w:r w:rsidR="001F7B0B" w:rsidRPr="0043739A">
              <w:rPr>
                <w:rStyle w:val="Hyperlink"/>
                <w:noProof/>
              </w:rPr>
              <w:t>CATEGORIZATION OF SEXUAL EXPLOITATION AND ABUSE/ SEXUAL HARASSMENT</w:t>
            </w:r>
            <w:r w:rsidR="001F7B0B">
              <w:rPr>
                <w:noProof/>
                <w:webHidden/>
              </w:rPr>
              <w:tab/>
            </w:r>
            <w:r w:rsidR="001F7B0B">
              <w:rPr>
                <w:noProof/>
                <w:webHidden/>
              </w:rPr>
              <w:fldChar w:fldCharType="begin"/>
            </w:r>
            <w:r w:rsidR="001F7B0B">
              <w:rPr>
                <w:noProof/>
                <w:webHidden/>
              </w:rPr>
              <w:instrText xml:space="preserve"> PAGEREF _Toc141127688 \h </w:instrText>
            </w:r>
            <w:r w:rsidR="001F7B0B">
              <w:rPr>
                <w:noProof/>
                <w:webHidden/>
              </w:rPr>
            </w:r>
            <w:r w:rsidR="001F7B0B">
              <w:rPr>
                <w:noProof/>
                <w:webHidden/>
              </w:rPr>
              <w:fldChar w:fldCharType="separate"/>
            </w:r>
            <w:r w:rsidR="001F7B0B">
              <w:rPr>
                <w:noProof/>
                <w:webHidden/>
              </w:rPr>
              <w:t>12</w:t>
            </w:r>
            <w:r w:rsidR="001F7B0B">
              <w:rPr>
                <w:noProof/>
                <w:webHidden/>
              </w:rPr>
              <w:fldChar w:fldCharType="end"/>
            </w:r>
          </w:hyperlink>
        </w:p>
        <w:p w14:paraId="420C577B" w14:textId="0B2D1EDD" w:rsidR="001F7B0B" w:rsidRDefault="009F2822">
          <w:pPr>
            <w:pStyle w:val="TOC2"/>
            <w:rPr>
              <w:rFonts w:asciiTheme="minorHAnsi" w:eastAsiaTheme="minorEastAsia" w:hAnsiTheme="minorHAnsi"/>
              <w:noProof/>
            </w:rPr>
          </w:pPr>
          <w:hyperlink w:anchor="_Toc141127689" w:history="1">
            <w:r w:rsidR="001F7B0B" w:rsidRPr="0043739A">
              <w:rPr>
                <w:rStyle w:val="Hyperlink"/>
                <w:noProof/>
              </w:rPr>
              <w:t>3.1</w:t>
            </w:r>
            <w:r w:rsidR="001F7B0B">
              <w:rPr>
                <w:rFonts w:asciiTheme="minorHAnsi" w:eastAsiaTheme="minorEastAsia" w:hAnsiTheme="minorHAnsi"/>
                <w:noProof/>
              </w:rPr>
              <w:tab/>
            </w:r>
            <w:r w:rsidR="001F7B0B" w:rsidRPr="0043739A">
              <w:rPr>
                <w:rStyle w:val="Hyperlink"/>
                <w:noProof/>
              </w:rPr>
              <w:t>Background</w:t>
            </w:r>
            <w:r w:rsidR="001F7B0B">
              <w:rPr>
                <w:noProof/>
                <w:webHidden/>
              </w:rPr>
              <w:tab/>
            </w:r>
            <w:r w:rsidR="001F7B0B">
              <w:rPr>
                <w:noProof/>
                <w:webHidden/>
              </w:rPr>
              <w:fldChar w:fldCharType="begin"/>
            </w:r>
            <w:r w:rsidR="001F7B0B">
              <w:rPr>
                <w:noProof/>
                <w:webHidden/>
              </w:rPr>
              <w:instrText xml:space="preserve"> PAGEREF _Toc141127689 \h </w:instrText>
            </w:r>
            <w:r w:rsidR="001F7B0B">
              <w:rPr>
                <w:noProof/>
                <w:webHidden/>
              </w:rPr>
            </w:r>
            <w:r w:rsidR="001F7B0B">
              <w:rPr>
                <w:noProof/>
                <w:webHidden/>
              </w:rPr>
              <w:fldChar w:fldCharType="separate"/>
            </w:r>
            <w:r w:rsidR="001F7B0B">
              <w:rPr>
                <w:noProof/>
                <w:webHidden/>
              </w:rPr>
              <w:t>12</w:t>
            </w:r>
            <w:r w:rsidR="001F7B0B">
              <w:rPr>
                <w:noProof/>
                <w:webHidden/>
              </w:rPr>
              <w:fldChar w:fldCharType="end"/>
            </w:r>
          </w:hyperlink>
        </w:p>
        <w:p w14:paraId="6E84CF4A" w14:textId="3EDDB019" w:rsidR="001F7B0B" w:rsidRDefault="009F2822">
          <w:pPr>
            <w:pStyle w:val="TOC2"/>
            <w:rPr>
              <w:rFonts w:asciiTheme="minorHAnsi" w:eastAsiaTheme="minorEastAsia" w:hAnsiTheme="minorHAnsi"/>
              <w:noProof/>
            </w:rPr>
          </w:pPr>
          <w:hyperlink w:anchor="_Toc141127690" w:history="1">
            <w:r w:rsidR="001F7B0B" w:rsidRPr="0043739A">
              <w:rPr>
                <w:rStyle w:val="Hyperlink"/>
                <w:noProof/>
              </w:rPr>
              <w:t>3.2</w:t>
            </w:r>
            <w:r w:rsidR="001F7B0B">
              <w:rPr>
                <w:rFonts w:asciiTheme="minorHAnsi" w:eastAsiaTheme="minorEastAsia" w:hAnsiTheme="minorHAnsi"/>
                <w:noProof/>
              </w:rPr>
              <w:tab/>
            </w:r>
            <w:r w:rsidR="001F7B0B" w:rsidRPr="0043739A">
              <w:rPr>
                <w:rStyle w:val="Hyperlink"/>
                <w:noProof/>
              </w:rPr>
              <w:t>Potential Project-Related SEA/SH Risks</w:t>
            </w:r>
            <w:r w:rsidR="001F7B0B">
              <w:rPr>
                <w:noProof/>
                <w:webHidden/>
              </w:rPr>
              <w:tab/>
            </w:r>
            <w:r w:rsidR="001F7B0B">
              <w:rPr>
                <w:noProof/>
                <w:webHidden/>
              </w:rPr>
              <w:fldChar w:fldCharType="begin"/>
            </w:r>
            <w:r w:rsidR="001F7B0B">
              <w:rPr>
                <w:noProof/>
                <w:webHidden/>
              </w:rPr>
              <w:instrText xml:space="preserve"> PAGEREF _Toc141127690 \h </w:instrText>
            </w:r>
            <w:r w:rsidR="001F7B0B">
              <w:rPr>
                <w:noProof/>
                <w:webHidden/>
              </w:rPr>
            </w:r>
            <w:r w:rsidR="001F7B0B">
              <w:rPr>
                <w:noProof/>
                <w:webHidden/>
              </w:rPr>
              <w:fldChar w:fldCharType="separate"/>
            </w:r>
            <w:r w:rsidR="001F7B0B">
              <w:rPr>
                <w:noProof/>
                <w:webHidden/>
              </w:rPr>
              <w:t>12</w:t>
            </w:r>
            <w:r w:rsidR="001F7B0B">
              <w:rPr>
                <w:noProof/>
                <w:webHidden/>
              </w:rPr>
              <w:fldChar w:fldCharType="end"/>
            </w:r>
          </w:hyperlink>
        </w:p>
        <w:p w14:paraId="78114044" w14:textId="0EA431C0" w:rsidR="001F7B0B" w:rsidRDefault="009F2822">
          <w:pPr>
            <w:pStyle w:val="TOC2"/>
            <w:rPr>
              <w:rFonts w:asciiTheme="minorHAnsi" w:eastAsiaTheme="minorEastAsia" w:hAnsiTheme="minorHAnsi"/>
              <w:noProof/>
            </w:rPr>
          </w:pPr>
          <w:hyperlink w:anchor="_Toc141127691" w:history="1">
            <w:r w:rsidR="001F7B0B" w:rsidRPr="0043739A">
              <w:rPr>
                <w:rStyle w:val="Hyperlink"/>
                <w:noProof/>
              </w:rPr>
              <w:t>3.3</w:t>
            </w:r>
            <w:r w:rsidR="001F7B0B">
              <w:rPr>
                <w:rFonts w:asciiTheme="minorHAnsi" w:eastAsiaTheme="minorEastAsia" w:hAnsiTheme="minorHAnsi"/>
                <w:noProof/>
              </w:rPr>
              <w:tab/>
            </w:r>
            <w:r w:rsidR="001F7B0B" w:rsidRPr="0043739A">
              <w:rPr>
                <w:rStyle w:val="Hyperlink"/>
                <w:noProof/>
              </w:rPr>
              <w:t>SEA/SH Screening</w:t>
            </w:r>
            <w:r w:rsidR="001F7B0B">
              <w:rPr>
                <w:noProof/>
                <w:webHidden/>
              </w:rPr>
              <w:tab/>
            </w:r>
            <w:r w:rsidR="001F7B0B">
              <w:rPr>
                <w:noProof/>
                <w:webHidden/>
              </w:rPr>
              <w:fldChar w:fldCharType="begin"/>
            </w:r>
            <w:r w:rsidR="001F7B0B">
              <w:rPr>
                <w:noProof/>
                <w:webHidden/>
              </w:rPr>
              <w:instrText xml:space="preserve"> PAGEREF _Toc141127691 \h </w:instrText>
            </w:r>
            <w:r w:rsidR="001F7B0B">
              <w:rPr>
                <w:noProof/>
                <w:webHidden/>
              </w:rPr>
            </w:r>
            <w:r w:rsidR="001F7B0B">
              <w:rPr>
                <w:noProof/>
                <w:webHidden/>
              </w:rPr>
              <w:fldChar w:fldCharType="separate"/>
            </w:r>
            <w:r w:rsidR="001F7B0B">
              <w:rPr>
                <w:noProof/>
                <w:webHidden/>
              </w:rPr>
              <w:t>14</w:t>
            </w:r>
            <w:r w:rsidR="001F7B0B">
              <w:rPr>
                <w:noProof/>
                <w:webHidden/>
              </w:rPr>
              <w:fldChar w:fldCharType="end"/>
            </w:r>
          </w:hyperlink>
        </w:p>
        <w:p w14:paraId="48DB709B" w14:textId="3EB5B343" w:rsidR="001F7B0B" w:rsidRDefault="009F2822">
          <w:pPr>
            <w:pStyle w:val="TOC1"/>
            <w:rPr>
              <w:rFonts w:asciiTheme="minorHAnsi" w:eastAsiaTheme="minorEastAsia" w:hAnsiTheme="minorHAnsi"/>
              <w:noProof/>
            </w:rPr>
          </w:pPr>
          <w:hyperlink w:anchor="_Toc141127692" w:history="1">
            <w:r w:rsidR="001F7B0B" w:rsidRPr="0043739A">
              <w:rPr>
                <w:rStyle w:val="Hyperlink"/>
                <w:noProof/>
              </w:rPr>
              <w:t>4</w:t>
            </w:r>
            <w:r w:rsidR="001F7B0B">
              <w:rPr>
                <w:rFonts w:asciiTheme="minorHAnsi" w:eastAsiaTheme="minorEastAsia" w:hAnsiTheme="minorHAnsi"/>
                <w:noProof/>
              </w:rPr>
              <w:tab/>
            </w:r>
            <w:r w:rsidR="001F7B0B" w:rsidRPr="0043739A">
              <w:rPr>
                <w:rStyle w:val="Hyperlink"/>
                <w:noProof/>
              </w:rPr>
              <w:t>ADDRESSING SEXUAL EXPLOITATION AND ABUSE RISKS IN THE KDEAP</w:t>
            </w:r>
            <w:r w:rsidR="001F7B0B">
              <w:rPr>
                <w:noProof/>
                <w:webHidden/>
              </w:rPr>
              <w:tab/>
            </w:r>
            <w:r w:rsidR="001F7B0B">
              <w:rPr>
                <w:noProof/>
                <w:webHidden/>
              </w:rPr>
              <w:fldChar w:fldCharType="begin"/>
            </w:r>
            <w:r w:rsidR="001F7B0B">
              <w:rPr>
                <w:noProof/>
                <w:webHidden/>
              </w:rPr>
              <w:instrText xml:space="preserve"> PAGEREF _Toc141127692 \h </w:instrText>
            </w:r>
            <w:r w:rsidR="001F7B0B">
              <w:rPr>
                <w:noProof/>
                <w:webHidden/>
              </w:rPr>
            </w:r>
            <w:r w:rsidR="001F7B0B">
              <w:rPr>
                <w:noProof/>
                <w:webHidden/>
              </w:rPr>
              <w:fldChar w:fldCharType="separate"/>
            </w:r>
            <w:r w:rsidR="001F7B0B">
              <w:rPr>
                <w:noProof/>
                <w:webHidden/>
              </w:rPr>
              <w:t>18</w:t>
            </w:r>
            <w:r w:rsidR="001F7B0B">
              <w:rPr>
                <w:noProof/>
                <w:webHidden/>
              </w:rPr>
              <w:fldChar w:fldCharType="end"/>
            </w:r>
          </w:hyperlink>
        </w:p>
        <w:p w14:paraId="257BC68C" w14:textId="3ACB3928" w:rsidR="001F7B0B" w:rsidRDefault="009F2822">
          <w:pPr>
            <w:pStyle w:val="TOC2"/>
            <w:rPr>
              <w:rFonts w:asciiTheme="minorHAnsi" w:eastAsiaTheme="minorEastAsia" w:hAnsiTheme="minorHAnsi"/>
              <w:noProof/>
            </w:rPr>
          </w:pPr>
          <w:hyperlink w:anchor="_Toc141127693" w:history="1">
            <w:r w:rsidR="001F7B0B" w:rsidRPr="0043739A">
              <w:rPr>
                <w:rStyle w:val="Hyperlink"/>
                <w:noProof/>
              </w:rPr>
              <w:t>4.1</w:t>
            </w:r>
            <w:r w:rsidR="001F7B0B">
              <w:rPr>
                <w:rFonts w:asciiTheme="minorHAnsi" w:eastAsiaTheme="minorEastAsia" w:hAnsiTheme="minorHAnsi"/>
                <w:noProof/>
              </w:rPr>
              <w:tab/>
            </w:r>
            <w:r w:rsidR="001F7B0B" w:rsidRPr="0043739A">
              <w:rPr>
                <w:rStyle w:val="Hyperlink"/>
                <w:noProof/>
              </w:rPr>
              <w:t>World Bank Requirements</w:t>
            </w:r>
            <w:r w:rsidR="001F7B0B">
              <w:rPr>
                <w:noProof/>
                <w:webHidden/>
              </w:rPr>
              <w:tab/>
            </w:r>
            <w:r w:rsidR="001F7B0B">
              <w:rPr>
                <w:noProof/>
                <w:webHidden/>
              </w:rPr>
              <w:fldChar w:fldCharType="begin"/>
            </w:r>
            <w:r w:rsidR="001F7B0B">
              <w:rPr>
                <w:noProof/>
                <w:webHidden/>
              </w:rPr>
              <w:instrText xml:space="preserve"> PAGEREF _Toc141127693 \h </w:instrText>
            </w:r>
            <w:r w:rsidR="001F7B0B">
              <w:rPr>
                <w:noProof/>
                <w:webHidden/>
              </w:rPr>
            </w:r>
            <w:r w:rsidR="001F7B0B">
              <w:rPr>
                <w:noProof/>
                <w:webHidden/>
              </w:rPr>
              <w:fldChar w:fldCharType="separate"/>
            </w:r>
            <w:r w:rsidR="001F7B0B">
              <w:rPr>
                <w:noProof/>
                <w:webHidden/>
              </w:rPr>
              <w:t>18</w:t>
            </w:r>
            <w:r w:rsidR="001F7B0B">
              <w:rPr>
                <w:noProof/>
                <w:webHidden/>
              </w:rPr>
              <w:fldChar w:fldCharType="end"/>
            </w:r>
          </w:hyperlink>
        </w:p>
        <w:p w14:paraId="187CB357" w14:textId="5FDA6E47" w:rsidR="001F7B0B" w:rsidRDefault="009F2822">
          <w:pPr>
            <w:pStyle w:val="TOC2"/>
            <w:rPr>
              <w:rFonts w:asciiTheme="minorHAnsi" w:eastAsiaTheme="minorEastAsia" w:hAnsiTheme="minorHAnsi"/>
              <w:noProof/>
            </w:rPr>
          </w:pPr>
          <w:hyperlink w:anchor="_Toc141127694" w:history="1">
            <w:r w:rsidR="001F7B0B" w:rsidRPr="0043739A">
              <w:rPr>
                <w:rStyle w:val="Hyperlink"/>
                <w:noProof/>
              </w:rPr>
              <w:t>4.2</w:t>
            </w:r>
            <w:r w:rsidR="001F7B0B">
              <w:rPr>
                <w:rFonts w:asciiTheme="minorHAnsi" w:eastAsiaTheme="minorEastAsia" w:hAnsiTheme="minorHAnsi"/>
                <w:noProof/>
              </w:rPr>
              <w:tab/>
            </w:r>
            <w:r w:rsidR="001F7B0B" w:rsidRPr="0043739A">
              <w:rPr>
                <w:rStyle w:val="Hyperlink"/>
                <w:noProof/>
              </w:rPr>
              <w:t>GBV (SEA/SH) Programming Guiding Principles</w:t>
            </w:r>
            <w:r w:rsidR="001F7B0B">
              <w:rPr>
                <w:noProof/>
                <w:webHidden/>
              </w:rPr>
              <w:tab/>
            </w:r>
            <w:r w:rsidR="001F7B0B">
              <w:rPr>
                <w:noProof/>
                <w:webHidden/>
              </w:rPr>
              <w:fldChar w:fldCharType="begin"/>
            </w:r>
            <w:r w:rsidR="001F7B0B">
              <w:rPr>
                <w:noProof/>
                <w:webHidden/>
              </w:rPr>
              <w:instrText xml:space="preserve"> PAGEREF _Toc141127694 \h </w:instrText>
            </w:r>
            <w:r w:rsidR="001F7B0B">
              <w:rPr>
                <w:noProof/>
                <w:webHidden/>
              </w:rPr>
            </w:r>
            <w:r w:rsidR="001F7B0B">
              <w:rPr>
                <w:noProof/>
                <w:webHidden/>
              </w:rPr>
              <w:fldChar w:fldCharType="separate"/>
            </w:r>
            <w:r w:rsidR="001F7B0B">
              <w:rPr>
                <w:noProof/>
                <w:webHidden/>
              </w:rPr>
              <w:t>18</w:t>
            </w:r>
            <w:r w:rsidR="001F7B0B">
              <w:rPr>
                <w:noProof/>
                <w:webHidden/>
              </w:rPr>
              <w:fldChar w:fldCharType="end"/>
            </w:r>
          </w:hyperlink>
        </w:p>
        <w:p w14:paraId="02F8D937" w14:textId="1D42F7FD" w:rsidR="001F7B0B" w:rsidRDefault="009F2822">
          <w:pPr>
            <w:pStyle w:val="TOC1"/>
            <w:rPr>
              <w:rFonts w:asciiTheme="minorHAnsi" w:eastAsiaTheme="minorEastAsia" w:hAnsiTheme="minorHAnsi"/>
              <w:noProof/>
            </w:rPr>
          </w:pPr>
          <w:hyperlink w:anchor="_Toc141127695" w:history="1">
            <w:r w:rsidR="001F7B0B" w:rsidRPr="0043739A">
              <w:rPr>
                <w:rStyle w:val="Hyperlink"/>
                <w:noProof/>
              </w:rPr>
              <w:t>5</w:t>
            </w:r>
            <w:r w:rsidR="001F7B0B">
              <w:rPr>
                <w:rFonts w:asciiTheme="minorHAnsi" w:eastAsiaTheme="minorEastAsia" w:hAnsiTheme="minorHAnsi"/>
                <w:noProof/>
              </w:rPr>
              <w:tab/>
            </w:r>
            <w:r w:rsidR="001F7B0B" w:rsidRPr="0043739A">
              <w:rPr>
                <w:rStyle w:val="Hyperlink"/>
                <w:noProof/>
              </w:rPr>
              <w:t>GBV PREVENTION AND RESPONSE MECHANISM FOR KDEAP</w:t>
            </w:r>
            <w:r w:rsidR="001F7B0B">
              <w:rPr>
                <w:noProof/>
                <w:webHidden/>
              </w:rPr>
              <w:tab/>
            </w:r>
            <w:r w:rsidR="001F7B0B">
              <w:rPr>
                <w:noProof/>
                <w:webHidden/>
              </w:rPr>
              <w:fldChar w:fldCharType="begin"/>
            </w:r>
            <w:r w:rsidR="001F7B0B">
              <w:rPr>
                <w:noProof/>
                <w:webHidden/>
              </w:rPr>
              <w:instrText xml:space="preserve"> PAGEREF _Toc141127695 \h </w:instrText>
            </w:r>
            <w:r w:rsidR="001F7B0B">
              <w:rPr>
                <w:noProof/>
                <w:webHidden/>
              </w:rPr>
            </w:r>
            <w:r w:rsidR="001F7B0B">
              <w:rPr>
                <w:noProof/>
                <w:webHidden/>
              </w:rPr>
              <w:fldChar w:fldCharType="separate"/>
            </w:r>
            <w:r w:rsidR="001F7B0B">
              <w:rPr>
                <w:noProof/>
                <w:webHidden/>
              </w:rPr>
              <w:t>19</w:t>
            </w:r>
            <w:r w:rsidR="001F7B0B">
              <w:rPr>
                <w:noProof/>
                <w:webHidden/>
              </w:rPr>
              <w:fldChar w:fldCharType="end"/>
            </w:r>
          </w:hyperlink>
        </w:p>
        <w:p w14:paraId="1FB1C6D5" w14:textId="6E707F18" w:rsidR="001F7B0B" w:rsidRDefault="009F2822">
          <w:pPr>
            <w:pStyle w:val="TOC2"/>
            <w:rPr>
              <w:rFonts w:asciiTheme="minorHAnsi" w:eastAsiaTheme="minorEastAsia" w:hAnsiTheme="minorHAnsi"/>
              <w:noProof/>
            </w:rPr>
          </w:pPr>
          <w:hyperlink w:anchor="_Toc141127696" w:history="1">
            <w:r w:rsidR="001F7B0B" w:rsidRPr="0043739A">
              <w:rPr>
                <w:rStyle w:val="Hyperlink"/>
                <w:noProof/>
              </w:rPr>
              <w:t>5.1</w:t>
            </w:r>
            <w:r w:rsidR="001F7B0B">
              <w:rPr>
                <w:rFonts w:asciiTheme="minorHAnsi" w:eastAsiaTheme="minorEastAsia" w:hAnsiTheme="minorHAnsi"/>
                <w:noProof/>
              </w:rPr>
              <w:tab/>
            </w:r>
            <w:r w:rsidR="001F7B0B" w:rsidRPr="0043739A">
              <w:rPr>
                <w:rStyle w:val="Hyperlink"/>
                <w:noProof/>
              </w:rPr>
              <w:t>ICTA Gender Mainstreaming Policy (April 2021)</w:t>
            </w:r>
            <w:r w:rsidR="001F7B0B">
              <w:rPr>
                <w:noProof/>
                <w:webHidden/>
              </w:rPr>
              <w:tab/>
            </w:r>
            <w:r w:rsidR="001F7B0B">
              <w:rPr>
                <w:noProof/>
                <w:webHidden/>
              </w:rPr>
              <w:fldChar w:fldCharType="begin"/>
            </w:r>
            <w:r w:rsidR="001F7B0B">
              <w:rPr>
                <w:noProof/>
                <w:webHidden/>
              </w:rPr>
              <w:instrText xml:space="preserve"> PAGEREF _Toc141127696 \h </w:instrText>
            </w:r>
            <w:r w:rsidR="001F7B0B">
              <w:rPr>
                <w:noProof/>
                <w:webHidden/>
              </w:rPr>
            </w:r>
            <w:r w:rsidR="001F7B0B">
              <w:rPr>
                <w:noProof/>
                <w:webHidden/>
              </w:rPr>
              <w:fldChar w:fldCharType="separate"/>
            </w:r>
            <w:r w:rsidR="001F7B0B">
              <w:rPr>
                <w:noProof/>
                <w:webHidden/>
              </w:rPr>
              <w:t>19</w:t>
            </w:r>
            <w:r w:rsidR="001F7B0B">
              <w:rPr>
                <w:noProof/>
                <w:webHidden/>
              </w:rPr>
              <w:fldChar w:fldCharType="end"/>
            </w:r>
          </w:hyperlink>
        </w:p>
        <w:p w14:paraId="0225A789" w14:textId="1EA4D37A" w:rsidR="001F7B0B" w:rsidRDefault="009F2822">
          <w:pPr>
            <w:pStyle w:val="TOC2"/>
            <w:rPr>
              <w:rFonts w:asciiTheme="minorHAnsi" w:eastAsiaTheme="minorEastAsia" w:hAnsiTheme="minorHAnsi"/>
              <w:noProof/>
            </w:rPr>
          </w:pPr>
          <w:hyperlink w:anchor="_Toc141127697" w:history="1">
            <w:r w:rsidR="001F7B0B" w:rsidRPr="0043739A">
              <w:rPr>
                <w:rStyle w:val="Hyperlink"/>
                <w:noProof/>
              </w:rPr>
              <w:t>5.2</w:t>
            </w:r>
            <w:r w:rsidR="001F7B0B">
              <w:rPr>
                <w:rFonts w:asciiTheme="minorHAnsi" w:eastAsiaTheme="minorEastAsia" w:hAnsiTheme="minorHAnsi"/>
                <w:noProof/>
              </w:rPr>
              <w:tab/>
            </w:r>
            <w:r w:rsidR="001F7B0B" w:rsidRPr="0043739A">
              <w:rPr>
                <w:rStyle w:val="Hyperlink"/>
                <w:noProof/>
              </w:rPr>
              <w:t>ICTA’s Sexual and Gender Based Violence Policy (April, 2021)</w:t>
            </w:r>
            <w:r w:rsidR="001F7B0B">
              <w:rPr>
                <w:noProof/>
                <w:webHidden/>
              </w:rPr>
              <w:tab/>
            </w:r>
            <w:r w:rsidR="001F7B0B">
              <w:rPr>
                <w:noProof/>
                <w:webHidden/>
              </w:rPr>
              <w:fldChar w:fldCharType="begin"/>
            </w:r>
            <w:r w:rsidR="001F7B0B">
              <w:rPr>
                <w:noProof/>
                <w:webHidden/>
              </w:rPr>
              <w:instrText xml:space="preserve"> PAGEREF _Toc141127697 \h </w:instrText>
            </w:r>
            <w:r w:rsidR="001F7B0B">
              <w:rPr>
                <w:noProof/>
                <w:webHidden/>
              </w:rPr>
            </w:r>
            <w:r w:rsidR="001F7B0B">
              <w:rPr>
                <w:noProof/>
                <w:webHidden/>
              </w:rPr>
              <w:fldChar w:fldCharType="separate"/>
            </w:r>
            <w:r w:rsidR="001F7B0B">
              <w:rPr>
                <w:noProof/>
                <w:webHidden/>
              </w:rPr>
              <w:t>20</w:t>
            </w:r>
            <w:r w:rsidR="001F7B0B">
              <w:rPr>
                <w:noProof/>
                <w:webHidden/>
              </w:rPr>
              <w:fldChar w:fldCharType="end"/>
            </w:r>
          </w:hyperlink>
        </w:p>
        <w:p w14:paraId="7998E831" w14:textId="442995BB" w:rsidR="001F7B0B" w:rsidRDefault="009F2822">
          <w:pPr>
            <w:pStyle w:val="TOC2"/>
            <w:rPr>
              <w:rFonts w:asciiTheme="minorHAnsi" w:eastAsiaTheme="minorEastAsia" w:hAnsiTheme="minorHAnsi"/>
              <w:noProof/>
            </w:rPr>
          </w:pPr>
          <w:hyperlink w:anchor="_Toc141127698" w:history="1">
            <w:r w:rsidR="001F7B0B" w:rsidRPr="0043739A">
              <w:rPr>
                <w:rStyle w:val="Hyperlink"/>
                <w:noProof/>
              </w:rPr>
              <w:t>5.3</w:t>
            </w:r>
            <w:r w:rsidR="001F7B0B">
              <w:rPr>
                <w:rFonts w:asciiTheme="minorHAnsi" w:eastAsiaTheme="minorEastAsia" w:hAnsiTheme="minorHAnsi"/>
                <w:noProof/>
              </w:rPr>
              <w:tab/>
            </w:r>
            <w:r w:rsidR="001F7B0B" w:rsidRPr="0043739A">
              <w:rPr>
                <w:rStyle w:val="Hyperlink"/>
                <w:noProof/>
              </w:rPr>
              <w:t>GBV (SEA/SH) Prevention in Kenya Applicable for the Project</w:t>
            </w:r>
            <w:r w:rsidR="001F7B0B">
              <w:rPr>
                <w:noProof/>
                <w:webHidden/>
              </w:rPr>
              <w:tab/>
            </w:r>
            <w:r w:rsidR="001F7B0B">
              <w:rPr>
                <w:noProof/>
                <w:webHidden/>
              </w:rPr>
              <w:fldChar w:fldCharType="begin"/>
            </w:r>
            <w:r w:rsidR="001F7B0B">
              <w:rPr>
                <w:noProof/>
                <w:webHidden/>
              </w:rPr>
              <w:instrText xml:space="preserve"> PAGEREF _Toc141127698 \h </w:instrText>
            </w:r>
            <w:r w:rsidR="001F7B0B">
              <w:rPr>
                <w:noProof/>
                <w:webHidden/>
              </w:rPr>
            </w:r>
            <w:r w:rsidR="001F7B0B">
              <w:rPr>
                <w:noProof/>
                <w:webHidden/>
              </w:rPr>
              <w:fldChar w:fldCharType="separate"/>
            </w:r>
            <w:r w:rsidR="001F7B0B">
              <w:rPr>
                <w:noProof/>
                <w:webHidden/>
              </w:rPr>
              <w:t>21</w:t>
            </w:r>
            <w:r w:rsidR="001F7B0B">
              <w:rPr>
                <w:noProof/>
                <w:webHidden/>
              </w:rPr>
              <w:fldChar w:fldCharType="end"/>
            </w:r>
          </w:hyperlink>
        </w:p>
        <w:p w14:paraId="7A108D32" w14:textId="0C2BE6A6" w:rsidR="001F7B0B" w:rsidRDefault="009F2822">
          <w:pPr>
            <w:pStyle w:val="TOC2"/>
            <w:rPr>
              <w:rFonts w:asciiTheme="minorHAnsi" w:eastAsiaTheme="minorEastAsia" w:hAnsiTheme="minorHAnsi"/>
              <w:noProof/>
            </w:rPr>
          </w:pPr>
          <w:hyperlink w:anchor="_Toc141127699" w:history="1">
            <w:r w:rsidR="001F7B0B" w:rsidRPr="0043739A">
              <w:rPr>
                <w:rStyle w:val="Hyperlink"/>
                <w:noProof/>
              </w:rPr>
              <w:t>5.4</w:t>
            </w:r>
            <w:r w:rsidR="001F7B0B">
              <w:rPr>
                <w:rFonts w:asciiTheme="minorHAnsi" w:eastAsiaTheme="minorEastAsia" w:hAnsiTheme="minorHAnsi"/>
                <w:noProof/>
              </w:rPr>
              <w:tab/>
            </w:r>
            <w:r w:rsidR="001F7B0B" w:rsidRPr="0043739A">
              <w:rPr>
                <w:rStyle w:val="Hyperlink"/>
                <w:noProof/>
              </w:rPr>
              <w:t>Access to Quality and Comprehensive Responsive and Support Services</w:t>
            </w:r>
            <w:r w:rsidR="001F7B0B">
              <w:rPr>
                <w:noProof/>
                <w:webHidden/>
              </w:rPr>
              <w:tab/>
            </w:r>
            <w:r w:rsidR="001F7B0B">
              <w:rPr>
                <w:noProof/>
                <w:webHidden/>
              </w:rPr>
              <w:fldChar w:fldCharType="begin"/>
            </w:r>
            <w:r w:rsidR="001F7B0B">
              <w:rPr>
                <w:noProof/>
                <w:webHidden/>
              </w:rPr>
              <w:instrText xml:space="preserve"> PAGEREF _Toc141127699 \h </w:instrText>
            </w:r>
            <w:r w:rsidR="001F7B0B">
              <w:rPr>
                <w:noProof/>
                <w:webHidden/>
              </w:rPr>
            </w:r>
            <w:r w:rsidR="001F7B0B">
              <w:rPr>
                <w:noProof/>
                <w:webHidden/>
              </w:rPr>
              <w:fldChar w:fldCharType="separate"/>
            </w:r>
            <w:r w:rsidR="001F7B0B">
              <w:rPr>
                <w:noProof/>
                <w:webHidden/>
              </w:rPr>
              <w:t>22</w:t>
            </w:r>
            <w:r w:rsidR="001F7B0B">
              <w:rPr>
                <w:noProof/>
                <w:webHidden/>
              </w:rPr>
              <w:fldChar w:fldCharType="end"/>
            </w:r>
          </w:hyperlink>
        </w:p>
        <w:p w14:paraId="6805AF92" w14:textId="2F26A150" w:rsidR="001F7B0B" w:rsidRDefault="009F2822">
          <w:pPr>
            <w:pStyle w:val="TOC2"/>
            <w:rPr>
              <w:rFonts w:asciiTheme="minorHAnsi" w:eastAsiaTheme="minorEastAsia" w:hAnsiTheme="minorHAnsi"/>
              <w:noProof/>
            </w:rPr>
          </w:pPr>
          <w:hyperlink w:anchor="_Toc141127700" w:history="1">
            <w:r w:rsidR="001F7B0B" w:rsidRPr="0043739A">
              <w:rPr>
                <w:rStyle w:val="Hyperlink"/>
                <w:noProof/>
              </w:rPr>
              <w:t>5.5</w:t>
            </w:r>
            <w:r w:rsidR="001F7B0B">
              <w:rPr>
                <w:rFonts w:asciiTheme="minorHAnsi" w:eastAsiaTheme="minorEastAsia" w:hAnsiTheme="minorHAnsi"/>
                <w:noProof/>
              </w:rPr>
              <w:tab/>
            </w:r>
            <w:r w:rsidR="001F7B0B" w:rsidRPr="0043739A">
              <w:rPr>
                <w:rStyle w:val="Hyperlink"/>
                <w:noProof/>
              </w:rPr>
              <w:t>Coordination</w:t>
            </w:r>
            <w:r w:rsidR="001F7B0B">
              <w:rPr>
                <w:noProof/>
                <w:webHidden/>
              </w:rPr>
              <w:tab/>
            </w:r>
            <w:r w:rsidR="001F7B0B">
              <w:rPr>
                <w:noProof/>
                <w:webHidden/>
              </w:rPr>
              <w:fldChar w:fldCharType="begin"/>
            </w:r>
            <w:r w:rsidR="001F7B0B">
              <w:rPr>
                <w:noProof/>
                <w:webHidden/>
              </w:rPr>
              <w:instrText xml:space="preserve"> PAGEREF _Toc141127700 \h </w:instrText>
            </w:r>
            <w:r w:rsidR="001F7B0B">
              <w:rPr>
                <w:noProof/>
                <w:webHidden/>
              </w:rPr>
            </w:r>
            <w:r w:rsidR="001F7B0B">
              <w:rPr>
                <w:noProof/>
                <w:webHidden/>
              </w:rPr>
              <w:fldChar w:fldCharType="separate"/>
            </w:r>
            <w:r w:rsidR="001F7B0B">
              <w:rPr>
                <w:noProof/>
                <w:webHidden/>
              </w:rPr>
              <w:t>22</w:t>
            </w:r>
            <w:r w:rsidR="001F7B0B">
              <w:rPr>
                <w:noProof/>
                <w:webHidden/>
              </w:rPr>
              <w:fldChar w:fldCharType="end"/>
            </w:r>
          </w:hyperlink>
        </w:p>
        <w:p w14:paraId="3D2D7058" w14:textId="71FC5B4B" w:rsidR="001F7B0B" w:rsidRDefault="009F2822">
          <w:pPr>
            <w:pStyle w:val="TOC2"/>
            <w:rPr>
              <w:rFonts w:asciiTheme="minorHAnsi" w:eastAsiaTheme="minorEastAsia" w:hAnsiTheme="minorHAnsi"/>
              <w:noProof/>
            </w:rPr>
          </w:pPr>
          <w:hyperlink w:anchor="_Toc141127701" w:history="1">
            <w:r w:rsidR="001F7B0B" w:rsidRPr="0043739A">
              <w:rPr>
                <w:rStyle w:val="Hyperlink"/>
                <w:noProof/>
              </w:rPr>
              <w:t>5.6</w:t>
            </w:r>
            <w:r w:rsidR="001F7B0B">
              <w:rPr>
                <w:rFonts w:asciiTheme="minorHAnsi" w:eastAsiaTheme="minorEastAsia" w:hAnsiTheme="minorHAnsi"/>
                <w:noProof/>
              </w:rPr>
              <w:tab/>
            </w:r>
            <w:r w:rsidR="001F7B0B" w:rsidRPr="0043739A">
              <w:rPr>
                <w:rStyle w:val="Hyperlink"/>
                <w:noProof/>
              </w:rPr>
              <w:t>Data Management and Monitoring &amp; Evaluation</w:t>
            </w:r>
            <w:r w:rsidR="001F7B0B">
              <w:rPr>
                <w:noProof/>
                <w:webHidden/>
              </w:rPr>
              <w:tab/>
            </w:r>
            <w:r w:rsidR="001F7B0B">
              <w:rPr>
                <w:noProof/>
                <w:webHidden/>
              </w:rPr>
              <w:fldChar w:fldCharType="begin"/>
            </w:r>
            <w:r w:rsidR="001F7B0B">
              <w:rPr>
                <w:noProof/>
                <w:webHidden/>
              </w:rPr>
              <w:instrText xml:space="preserve"> PAGEREF _Toc141127701 \h </w:instrText>
            </w:r>
            <w:r w:rsidR="001F7B0B">
              <w:rPr>
                <w:noProof/>
                <w:webHidden/>
              </w:rPr>
            </w:r>
            <w:r w:rsidR="001F7B0B">
              <w:rPr>
                <w:noProof/>
                <w:webHidden/>
              </w:rPr>
              <w:fldChar w:fldCharType="separate"/>
            </w:r>
            <w:r w:rsidR="001F7B0B">
              <w:rPr>
                <w:noProof/>
                <w:webHidden/>
              </w:rPr>
              <w:t>22</w:t>
            </w:r>
            <w:r w:rsidR="001F7B0B">
              <w:rPr>
                <w:noProof/>
                <w:webHidden/>
              </w:rPr>
              <w:fldChar w:fldCharType="end"/>
            </w:r>
          </w:hyperlink>
        </w:p>
        <w:p w14:paraId="133BC6EC" w14:textId="1D3553EF" w:rsidR="001F7B0B" w:rsidRDefault="009F2822">
          <w:pPr>
            <w:pStyle w:val="TOC2"/>
            <w:rPr>
              <w:rFonts w:asciiTheme="minorHAnsi" w:eastAsiaTheme="minorEastAsia" w:hAnsiTheme="minorHAnsi"/>
              <w:noProof/>
            </w:rPr>
          </w:pPr>
          <w:hyperlink w:anchor="_Toc141127702" w:history="1">
            <w:r w:rsidR="001F7B0B" w:rsidRPr="0043739A">
              <w:rPr>
                <w:rStyle w:val="Hyperlink"/>
                <w:noProof/>
              </w:rPr>
              <w:t>5.7</w:t>
            </w:r>
            <w:r w:rsidR="001F7B0B">
              <w:rPr>
                <w:rFonts w:asciiTheme="minorHAnsi" w:eastAsiaTheme="minorEastAsia" w:hAnsiTheme="minorHAnsi"/>
                <w:noProof/>
              </w:rPr>
              <w:tab/>
            </w:r>
            <w:r w:rsidR="001F7B0B" w:rsidRPr="0043739A">
              <w:rPr>
                <w:rStyle w:val="Hyperlink"/>
                <w:noProof/>
              </w:rPr>
              <w:t>Research and development</w:t>
            </w:r>
            <w:r w:rsidR="001F7B0B">
              <w:rPr>
                <w:noProof/>
                <w:webHidden/>
              </w:rPr>
              <w:tab/>
            </w:r>
            <w:r w:rsidR="001F7B0B">
              <w:rPr>
                <w:noProof/>
                <w:webHidden/>
              </w:rPr>
              <w:fldChar w:fldCharType="begin"/>
            </w:r>
            <w:r w:rsidR="001F7B0B">
              <w:rPr>
                <w:noProof/>
                <w:webHidden/>
              </w:rPr>
              <w:instrText xml:space="preserve"> PAGEREF _Toc141127702 \h </w:instrText>
            </w:r>
            <w:r w:rsidR="001F7B0B">
              <w:rPr>
                <w:noProof/>
                <w:webHidden/>
              </w:rPr>
            </w:r>
            <w:r w:rsidR="001F7B0B">
              <w:rPr>
                <w:noProof/>
                <w:webHidden/>
              </w:rPr>
              <w:fldChar w:fldCharType="separate"/>
            </w:r>
            <w:r w:rsidR="001F7B0B">
              <w:rPr>
                <w:noProof/>
                <w:webHidden/>
              </w:rPr>
              <w:t>22</w:t>
            </w:r>
            <w:r w:rsidR="001F7B0B">
              <w:rPr>
                <w:noProof/>
                <w:webHidden/>
              </w:rPr>
              <w:fldChar w:fldCharType="end"/>
            </w:r>
          </w:hyperlink>
        </w:p>
        <w:p w14:paraId="774B153C" w14:textId="03F7A0A3" w:rsidR="001F7B0B" w:rsidRDefault="009F2822">
          <w:pPr>
            <w:pStyle w:val="TOC2"/>
            <w:rPr>
              <w:rFonts w:asciiTheme="minorHAnsi" w:eastAsiaTheme="minorEastAsia" w:hAnsiTheme="minorHAnsi"/>
              <w:noProof/>
            </w:rPr>
          </w:pPr>
          <w:hyperlink w:anchor="_Toc141127703" w:history="1">
            <w:r w:rsidR="001F7B0B" w:rsidRPr="0043739A">
              <w:rPr>
                <w:rStyle w:val="Hyperlink"/>
                <w:noProof/>
              </w:rPr>
              <w:t>5.8</w:t>
            </w:r>
            <w:r w:rsidR="001F7B0B">
              <w:rPr>
                <w:rFonts w:asciiTheme="minorHAnsi" w:eastAsiaTheme="minorEastAsia" w:hAnsiTheme="minorHAnsi"/>
                <w:noProof/>
              </w:rPr>
              <w:tab/>
            </w:r>
            <w:r w:rsidR="001F7B0B" w:rsidRPr="0043739A">
              <w:rPr>
                <w:rStyle w:val="Hyperlink"/>
                <w:noProof/>
              </w:rPr>
              <w:t>Resource Mobilization Towards Sustainable GBV (SEA/SH) Response and Prevention Programmes</w:t>
            </w:r>
            <w:r w:rsidR="001F7B0B">
              <w:rPr>
                <w:noProof/>
                <w:webHidden/>
              </w:rPr>
              <w:tab/>
            </w:r>
            <w:r w:rsidR="001F7B0B">
              <w:rPr>
                <w:noProof/>
                <w:webHidden/>
              </w:rPr>
              <w:fldChar w:fldCharType="begin"/>
            </w:r>
            <w:r w:rsidR="001F7B0B">
              <w:rPr>
                <w:noProof/>
                <w:webHidden/>
              </w:rPr>
              <w:instrText xml:space="preserve"> PAGEREF _Toc141127703 \h </w:instrText>
            </w:r>
            <w:r w:rsidR="001F7B0B">
              <w:rPr>
                <w:noProof/>
                <w:webHidden/>
              </w:rPr>
            </w:r>
            <w:r w:rsidR="001F7B0B">
              <w:rPr>
                <w:noProof/>
                <w:webHidden/>
              </w:rPr>
              <w:fldChar w:fldCharType="separate"/>
            </w:r>
            <w:r w:rsidR="001F7B0B">
              <w:rPr>
                <w:noProof/>
                <w:webHidden/>
              </w:rPr>
              <w:t>22</w:t>
            </w:r>
            <w:r w:rsidR="001F7B0B">
              <w:rPr>
                <w:noProof/>
                <w:webHidden/>
              </w:rPr>
              <w:fldChar w:fldCharType="end"/>
            </w:r>
          </w:hyperlink>
        </w:p>
        <w:p w14:paraId="167AA645" w14:textId="4CB8C84A" w:rsidR="001F7B0B" w:rsidRDefault="009F2822">
          <w:pPr>
            <w:pStyle w:val="TOC2"/>
            <w:rPr>
              <w:rFonts w:asciiTheme="minorHAnsi" w:eastAsiaTheme="minorEastAsia" w:hAnsiTheme="minorHAnsi"/>
              <w:noProof/>
            </w:rPr>
          </w:pPr>
          <w:hyperlink w:anchor="_Toc141127704" w:history="1">
            <w:r w:rsidR="001F7B0B" w:rsidRPr="0043739A">
              <w:rPr>
                <w:rStyle w:val="Hyperlink"/>
                <w:noProof/>
              </w:rPr>
              <w:t>5.9</w:t>
            </w:r>
            <w:r w:rsidR="001F7B0B">
              <w:rPr>
                <w:rFonts w:asciiTheme="minorHAnsi" w:eastAsiaTheme="minorEastAsia" w:hAnsiTheme="minorHAnsi"/>
                <w:noProof/>
              </w:rPr>
              <w:tab/>
            </w:r>
            <w:r w:rsidR="001F7B0B" w:rsidRPr="0043739A">
              <w:rPr>
                <w:rStyle w:val="Hyperlink"/>
                <w:noProof/>
              </w:rPr>
              <w:t>Sustainability</w:t>
            </w:r>
            <w:r w:rsidR="001F7B0B">
              <w:rPr>
                <w:noProof/>
                <w:webHidden/>
              </w:rPr>
              <w:tab/>
            </w:r>
            <w:r w:rsidR="001F7B0B">
              <w:rPr>
                <w:noProof/>
                <w:webHidden/>
              </w:rPr>
              <w:fldChar w:fldCharType="begin"/>
            </w:r>
            <w:r w:rsidR="001F7B0B">
              <w:rPr>
                <w:noProof/>
                <w:webHidden/>
              </w:rPr>
              <w:instrText xml:space="preserve"> PAGEREF _Toc141127704 \h </w:instrText>
            </w:r>
            <w:r w:rsidR="001F7B0B">
              <w:rPr>
                <w:noProof/>
                <w:webHidden/>
              </w:rPr>
            </w:r>
            <w:r w:rsidR="001F7B0B">
              <w:rPr>
                <w:noProof/>
                <w:webHidden/>
              </w:rPr>
              <w:fldChar w:fldCharType="separate"/>
            </w:r>
            <w:r w:rsidR="001F7B0B">
              <w:rPr>
                <w:noProof/>
                <w:webHidden/>
              </w:rPr>
              <w:t>23</w:t>
            </w:r>
            <w:r w:rsidR="001F7B0B">
              <w:rPr>
                <w:noProof/>
                <w:webHidden/>
              </w:rPr>
              <w:fldChar w:fldCharType="end"/>
            </w:r>
          </w:hyperlink>
        </w:p>
        <w:p w14:paraId="7A496820" w14:textId="4C52F747" w:rsidR="001F7B0B" w:rsidRDefault="009F2822">
          <w:pPr>
            <w:pStyle w:val="TOC2"/>
            <w:rPr>
              <w:rFonts w:asciiTheme="minorHAnsi" w:eastAsiaTheme="minorEastAsia" w:hAnsiTheme="minorHAnsi"/>
              <w:noProof/>
            </w:rPr>
          </w:pPr>
          <w:hyperlink w:anchor="_Toc141127705" w:history="1">
            <w:r w:rsidR="001F7B0B" w:rsidRPr="0043739A">
              <w:rPr>
                <w:rStyle w:val="Hyperlink"/>
                <w:noProof/>
              </w:rPr>
              <w:t>5.10</w:t>
            </w:r>
            <w:r w:rsidR="001F7B0B">
              <w:rPr>
                <w:rFonts w:asciiTheme="minorHAnsi" w:eastAsiaTheme="minorEastAsia" w:hAnsiTheme="minorHAnsi"/>
                <w:noProof/>
              </w:rPr>
              <w:tab/>
            </w:r>
            <w:r w:rsidR="001F7B0B" w:rsidRPr="0043739A">
              <w:rPr>
                <w:rStyle w:val="Hyperlink"/>
                <w:noProof/>
              </w:rPr>
              <w:t>Institutional Setup for Management of GBV (SEA/SH) in Kenya</w:t>
            </w:r>
            <w:r w:rsidR="001F7B0B">
              <w:rPr>
                <w:noProof/>
                <w:webHidden/>
              </w:rPr>
              <w:tab/>
            </w:r>
            <w:r w:rsidR="001F7B0B">
              <w:rPr>
                <w:noProof/>
                <w:webHidden/>
              </w:rPr>
              <w:fldChar w:fldCharType="begin"/>
            </w:r>
            <w:r w:rsidR="001F7B0B">
              <w:rPr>
                <w:noProof/>
                <w:webHidden/>
              </w:rPr>
              <w:instrText xml:space="preserve"> PAGEREF _Toc141127705 \h </w:instrText>
            </w:r>
            <w:r w:rsidR="001F7B0B">
              <w:rPr>
                <w:noProof/>
                <w:webHidden/>
              </w:rPr>
            </w:r>
            <w:r w:rsidR="001F7B0B">
              <w:rPr>
                <w:noProof/>
                <w:webHidden/>
              </w:rPr>
              <w:fldChar w:fldCharType="separate"/>
            </w:r>
            <w:r w:rsidR="001F7B0B">
              <w:rPr>
                <w:noProof/>
                <w:webHidden/>
              </w:rPr>
              <w:t>23</w:t>
            </w:r>
            <w:r w:rsidR="001F7B0B">
              <w:rPr>
                <w:noProof/>
                <w:webHidden/>
              </w:rPr>
              <w:fldChar w:fldCharType="end"/>
            </w:r>
          </w:hyperlink>
        </w:p>
        <w:p w14:paraId="6D2C8344" w14:textId="5BA48DBB" w:rsidR="001F7B0B" w:rsidRDefault="009F2822">
          <w:pPr>
            <w:pStyle w:val="TOC1"/>
            <w:rPr>
              <w:rFonts w:asciiTheme="minorHAnsi" w:eastAsiaTheme="minorEastAsia" w:hAnsiTheme="minorHAnsi"/>
              <w:noProof/>
            </w:rPr>
          </w:pPr>
          <w:hyperlink w:anchor="_Toc141127706" w:history="1">
            <w:r w:rsidR="001F7B0B" w:rsidRPr="0043739A">
              <w:rPr>
                <w:rStyle w:val="Hyperlink"/>
                <w:noProof/>
              </w:rPr>
              <w:t>6</w:t>
            </w:r>
            <w:r w:rsidR="001F7B0B">
              <w:rPr>
                <w:rFonts w:asciiTheme="minorHAnsi" w:eastAsiaTheme="minorEastAsia" w:hAnsiTheme="minorHAnsi"/>
                <w:noProof/>
              </w:rPr>
              <w:tab/>
            </w:r>
            <w:r w:rsidR="001F7B0B" w:rsidRPr="0043739A">
              <w:rPr>
                <w:rStyle w:val="Hyperlink"/>
                <w:noProof/>
              </w:rPr>
              <w:t>Grievance Mechanism (GM)</w:t>
            </w:r>
            <w:r w:rsidR="001F7B0B">
              <w:rPr>
                <w:noProof/>
                <w:webHidden/>
              </w:rPr>
              <w:tab/>
            </w:r>
            <w:r w:rsidR="001F7B0B">
              <w:rPr>
                <w:noProof/>
                <w:webHidden/>
              </w:rPr>
              <w:fldChar w:fldCharType="begin"/>
            </w:r>
            <w:r w:rsidR="001F7B0B">
              <w:rPr>
                <w:noProof/>
                <w:webHidden/>
              </w:rPr>
              <w:instrText xml:space="preserve"> PAGEREF _Toc141127706 \h </w:instrText>
            </w:r>
            <w:r w:rsidR="001F7B0B">
              <w:rPr>
                <w:noProof/>
                <w:webHidden/>
              </w:rPr>
            </w:r>
            <w:r w:rsidR="001F7B0B">
              <w:rPr>
                <w:noProof/>
                <w:webHidden/>
              </w:rPr>
              <w:fldChar w:fldCharType="separate"/>
            </w:r>
            <w:r w:rsidR="001F7B0B">
              <w:rPr>
                <w:noProof/>
                <w:webHidden/>
              </w:rPr>
              <w:t>25</w:t>
            </w:r>
            <w:r w:rsidR="001F7B0B">
              <w:rPr>
                <w:noProof/>
                <w:webHidden/>
              </w:rPr>
              <w:fldChar w:fldCharType="end"/>
            </w:r>
          </w:hyperlink>
        </w:p>
        <w:p w14:paraId="5FB4BA6B" w14:textId="0290F795" w:rsidR="001F7B0B" w:rsidRDefault="009F2822">
          <w:pPr>
            <w:pStyle w:val="TOC2"/>
            <w:rPr>
              <w:rFonts w:asciiTheme="minorHAnsi" w:eastAsiaTheme="minorEastAsia" w:hAnsiTheme="minorHAnsi"/>
              <w:noProof/>
            </w:rPr>
          </w:pPr>
          <w:hyperlink w:anchor="_Toc141127707" w:history="1">
            <w:r w:rsidR="001F7B0B" w:rsidRPr="0043739A">
              <w:rPr>
                <w:rStyle w:val="Hyperlink"/>
                <w:noProof/>
              </w:rPr>
              <w:t>6.1</w:t>
            </w:r>
            <w:r w:rsidR="001F7B0B">
              <w:rPr>
                <w:rFonts w:asciiTheme="minorHAnsi" w:eastAsiaTheme="minorEastAsia" w:hAnsiTheme="minorHAnsi"/>
                <w:noProof/>
              </w:rPr>
              <w:tab/>
            </w:r>
            <w:r w:rsidR="001F7B0B" w:rsidRPr="0043739A">
              <w:rPr>
                <w:rStyle w:val="Hyperlink"/>
                <w:noProof/>
              </w:rPr>
              <w:t>SEA/SH Grievance Management</w:t>
            </w:r>
            <w:r w:rsidR="001F7B0B">
              <w:rPr>
                <w:noProof/>
                <w:webHidden/>
              </w:rPr>
              <w:tab/>
            </w:r>
            <w:r w:rsidR="001F7B0B">
              <w:rPr>
                <w:noProof/>
                <w:webHidden/>
              </w:rPr>
              <w:fldChar w:fldCharType="begin"/>
            </w:r>
            <w:r w:rsidR="001F7B0B">
              <w:rPr>
                <w:noProof/>
                <w:webHidden/>
              </w:rPr>
              <w:instrText xml:space="preserve"> PAGEREF _Toc141127707 \h </w:instrText>
            </w:r>
            <w:r w:rsidR="001F7B0B">
              <w:rPr>
                <w:noProof/>
                <w:webHidden/>
              </w:rPr>
            </w:r>
            <w:r w:rsidR="001F7B0B">
              <w:rPr>
                <w:noProof/>
                <w:webHidden/>
              </w:rPr>
              <w:fldChar w:fldCharType="separate"/>
            </w:r>
            <w:r w:rsidR="001F7B0B">
              <w:rPr>
                <w:noProof/>
                <w:webHidden/>
              </w:rPr>
              <w:t>25</w:t>
            </w:r>
            <w:r w:rsidR="001F7B0B">
              <w:rPr>
                <w:noProof/>
                <w:webHidden/>
              </w:rPr>
              <w:fldChar w:fldCharType="end"/>
            </w:r>
          </w:hyperlink>
        </w:p>
        <w:p w14:paraId="3360784F" w14:textId="2CCD1FB5" w:rsidR="001F7B0B" w:rsidRDefault="009F2822">
          <w:pPr>
            <w:pStyle w:val="TOC2"/>
            <w:rPr>
              <w:rFonts w:asciiTheme="minorHAnsi" w:eastAsiaTheme="minorEastAsia" w:hAnsiTheme="minorHAnsi"/>
              <w:noProof/>
            </w:rPr>
          </w:pPr>
          <w:hyperlink w:anchor="_Toc141127708" w:history="1">
            <w:r w:rsidR="001F7B0B" w:rsidRPr="0043739A">
              <w:rPr>
                <w:rStyle w:val="Hyperlink"/>
                <w:noProof/>
              </w:rPr>
              <w:t>6.2</w:t>
            </w:r>
            <w:r w:rsidR="001F7B0B">
              <w:rPr>
                <w:rFonts w:asciiTheme="minorHAnsi" w:eastAsiaTheme="minorEastAsia" w:hAnsiTheme="minorHAnsi"/>
                <w:noProof/>
              </w:rPr>
              <w:tab/>
            </w:r>
            <w:r w:rsidR="001F7B0B" w:rsidRPr="0043739A">
              <w:rPr>
                <w:rStyle w:val="Hyperlink"/>
                <w:noProof/>
              </w:rPr>
              <w:t>SEA/SH Reporting Process</w:t>
            </w:r>
            <w:r w:rsidR="001F7B0B">
              <w:rPr>
                <w:noProof/>
                <w:webHidden/>
              </w:rPr>
              <w:tab/>
            </w:r>
            <w:r w:rsidR="001F7B0B">
              <w:rPr>
                <w:noProof/>
                <w:webHidden/>
              </w:rPr>
              <w:fldChar w:fldCharType="begin"/>
            </w:r>
            <w:r w:rsidR="001F7B0B">
              <w:rPr>
                <w:noProof/>
                <w:webHidden/>
              </w:rPr>
              <w:instrText xml:space="preserve"> PAGEREF _Toc141127708 \h </w:instrText>
            </w:r>
            <w:r w:rsidR="001F7B0B">
              <w:rPr>
                <w:noProof/>
                <w:webHidden/>
              </w:rPr>
            </w:r>
            <w:r w:rsidR="001F7B0B">
              <w:rPr>
                <w:noProof/>
                <w:webHidden/>
              </w:rPr>
              <w:fldChar w:fldCharType="separate"/>
            </w:r>
            <w:r w:rsidR="001F7B0B">
              <w:rPr>
                <w:noProof/>
                <w:webHidden/>
              </w:rPr>
              <w:t>26</w:t>
            </w:r>
            <w:r w:rsidR="001F7B0B">
              <w:rPr>
                <w:noProof/>
                <w:webHidden/>
              </w:rPr>
              <w:fldChar w:fldCharType="end"/>
            </w:r>
          </w:hyperlink>
        </w:p>
        <w:p w14:paraId="16F43596" w14:textId="0369AC08" w:rsidR="001F7B0B" w:rsidRDefault="009F2822">
          <w:pPr>
            <w:pStyle w:val="TOC1"/>
            <w:rPr>
              <w:rFonts w:asciiTheme="minorHAnsi" w:eastAsiaTheme="minorEastAsia" w:hAnsiTheme="minorHAnsi"/>
              <w:noProof/>
            </w:rPr>
          </w:pPr>
          <w:hyperlink w:anchor="_Toc141127709" w:history="1">
            <w:r w:rsidR="001F7B0B" w:rsidRPr="0043739A">
              <w:rPr>
                <w:rStyle w:val="Hyperlink"/>
                <w:noProof/>
              </w:rPr>
              <w:t>7</w:t>
            </w:r>
            <w:r w:rsidR="001F7B0B">
              <w:rPr>
                <w:rFonts w:asciiTheme="minorHAnsi" w:eastAsiaTheme="minorEastAsia" w:hAnsiTheme="minorHAnsi"/>
                <w:noProof/>
              </w:rPr>
              <w:tab/>
            </w:r>
            <w:r w:rsidR="001F7B0B" w:rsidRPr="0043739A">
              <w:rPr>
                <w:rStyle w:val="Hyperlink"/>
                <w:noProof/>
              </w:rPr>
              <w:t>GENDER BASED VIOLENCE REFERRAL PATHWAYS</w:t>
            </w:r>
            <w:r w:rsidR="001F7B0B">
              <w:rPr>
                <w:noProof/>
                <w:webHidden/>
              </w:rPr>
              <w:tab/>
            </w:r>
            <w:r w:rsidR="001F7B0B">
              <w:rPr>
                <w:noProof/>
                <w:webHidden/>
              </w:rPr>
              <w:fldChar w:fldCharType="begin"/>
            </w:r>
            <w:r w:rsidR="001F7B0B">
              <w:rPr>
                <w:noProof/>
                <w:webHidden/>
              </w:rPr>
              <w:instrText xml:space="preserve"> PAGEREF _Toc141127709 \h </w:instrText>
            </w:r>
            <w:r w:rsidR="001F7B0B">
              <w:rPr>
                <w:noProof/>
                <w:webHidden/>
              </w:rPr>
            </w:r>
            <w:r w:rsidR="001F7B0B">
              <w:rPr>
                <w:noProof/>
                <w:webHidden/>
              </w:rPr>
              <w:fldChar w:fldCharType="separate"/>
            </w:r>
            <w:r w:rsidR="001F7B0B">
              <w:rPr>
                <w:noProof/>
                <w:webHidden/>
              </w:rPr>
              <w:t>28</w:t>
            </w:r>
            <w:r w:rsidR="001F7B0B">
              <w:rPr>
                <w:noProof/>
                <w:webHidden/>
              </w:rPr>
              <w:fldChar w:fldCharType="end"/>
            </w:r>
          </w:hyperlink>
        </w:p>
        <w:p w14:paraId="31B86886" w14:textId="330D73D4" w:rsidR="001F7B0B" w:rsidRDefault="009F2822">
          <w:pPr>
            <w:pStyle w:val="TOC1"/>
            <w:rPr>
              <w:rFonts w:asciiTheme="minorHAnsi" w:eastAsiaTheme="minorEastAsia" w:hAnsiTheme="minorHAnsi"/>
              <w:noProof/>
            </w:rPr>
          </w:pPr>
          <w:hyperlink w:anchor="_Toc141127710" w:history="1">
            <w:r w:rsidR="001F7B0B" w:rsidRPr="0043739A">
              <w:rPr>
                <w:rStyle w:val="Hyperlink"/>
                <w:noProof/>
              </w:rPr>
              <w:t>8</w:t>
            </w:r>
            <w:r w:rsidR="001F7B0B">
              <w:rPr>
                <w:rFonts w:asciiTheme="minorHAnsi" w:eastAsiaTheme="minorEastAsia" w:hAnsiTheme="minorHAnsi"/>
                <w:noProof/>
              </w:rPr>
              <w:tab/>
            </w:r>
            <w:r w:rsidR="001F7B0B" w:rsidRPr="0043739A">
              <w:rPr>
                <w:rStyle w:val="Hyperlink"/>
                <w:noProof/>
              </w:rPr>
              <w:t>INSTITUTIONAL ARRANGEMENTS AND MONITORING OF THE SEA/SH PREVENTION AND RESPONSE ACTION PLAN</w:t>
            </w:r>
            <w:r w:rsidR="001F7B0B">
              <w:rPr>
                <w:noProof/>
                <w:webHidden/>
              </w:rPr>
              <w:tab/>
            </w:r>
            <w:r w:rsidR="001F7B0B">
              <w:rPr>
                <w:noProof/>
                <w:webHidden/>
              </w:rPr>
              <w:fldChar w:fldCharType="begin"/>
            </w:r>
            <w:r w:rsidR="001F7B0B">
              <w:rPr>
                <w:noProof/>
                <w:webHidden/>
              </w:rPr>
              <w:instrText xml:space="preserve"> PAGEREF _Toc141127710 \h </w:instrText>
            </w:r>
            <w:r w:rsidR="001F7B0B">
              <w:rPr>
                <w:noProof/>
                <w:webHidden/>
              </w:rPr>
            </w:r>
            <w:r w:rsidR="001F7B0B">
              <w:rPr>
                <w:noProof/>
                <w:webHidden/>
              </w:rPr>
              <w:fldChar w:fldCharType="separate"/>
            </w:r>
            <w:r w:rsidR="001F7B0B">
              <w:rPr>
                <w:noProof/>
                <w:webHidden/>
              </w:rPr>
              <w:t>30</w:t>
            </w:r>
            <w:r w:rsidR="001F7B0B">
              <w:rPr>
                <w:noProof/>
                <w:webHidden/>
              </w:rPr>
              <w:fldChar w:fldCharType="end"/>
            </w:r>
          </w:hyperlink>
        </w:p>
        <w:p w14:paraId="0A8EBCE4" w14:textId="6670A626" w:rsidR="001F7B0B" w:rsidRDefault="009F2822">
          <w:pPr>
            <w:pStyle w:val="TOC2"/>
            <w:rPr>
              <w:rFonts w:asciiTheme="minorHAnsi" w:eastAsiaTheme="minorEastAsia" w:hAnsiTheme="minorHAnsi"/>
              <w:noProof/>
            </w:rPr>
          </w:pPr>
          <w:hyperlink w:anchor="_Toc141127711" w:history="1">
            <w:r w:rsidR="001F7B0B" w:rsidRPr="0043739A">
              <w:rPr>
                <w:rStyle w:val="Hyperlink"/>
                <w:noProof/>
              </w:rPr>
              <w:t>8.1</w:t>
            </w:r>
            <w:r w:rsidR="001F7B0B">
              <w:rPr>
                <w:rFonts w:asciiTheme="minorHAnsi" w:eastAsiaTheme="minorEastAsia" w:hAnsiTheme="minorHAnsi"/>
                <w:noProof/>
              </w:rPr>
              <w:tab/>
            </w:r>
            <w:r w:rsidR="001F7B0B" w:rsidRPr="0043739A">
              <w:rPr>
                <w:rStyle w:val="Hyperlink"/>
                <w:noProof/>
              </w:rPr>
              <w:t>Gender Management System</w:t>
            </w:r>
            <w:r w:rsidR="001F7B0B">
              <w:rPr>
                <w:noProof/>
                <w:webHidden/>
              </w:rPr>
              <w:tab/>
            </w:r>
            <w:r w:rsidR="001F7B0B">
              <w:rPr>
                <w:noProof/>
                <w:webHidden/>
              </w:rPr>
              <w:fldChar w:fldCharType="begin"/>
            </w:r>
            <w:r w:rsidR="001F7B0B">
              <w:rPr>
                <w:noProof/>
                <w:webHidden/>
              </w:rPr>
              <w:instrText xml:space="preserve"> PAGEREF _Toc141127711 \h </w:instrText>
            </w:r>
            <w:r w:rsidR="001F7B0B">
              <w:rPr>
                <w:noProof/>
                <w:webHidden/>
              </w:rPr>
            </w:r>
            <w:r w:rsidR="001F7B0B">
              <w:rPr>
                <w:noProof/>
                <w:webHidden/>
              </w:rPr>
              <w:fldChar w:fldCharType="separate"/>
            </w:r>
            <w:r w:rsidR="001F7B0B">
              <w:rPr>
                <w:noProof/>
                <w:webHidden/>
              </w:rPr>
              <w:t>30</w:t>
            </w:r>
            <w:r w:rsidR="001F7B0B">
              <w:rPr>
                <w:noProof/>
                <w:webHidden/>
              </w:rPr>
              <w:fldChar w:fldCharType="end"/>
            </w:r>
          </w:hyperlink>
        </w:p>
        <w:p w14:paraId="20F132FF" w14:textId="77705555" w:rsidR="001F7B0B" w:rsidRDefault="009F2822">
          <w:pPr>
            <w:pStyle w:val="TOC2"/>
            <w:rPr>
              <w:rFonts w:asciiTheme="minorHAnsi" w:eastAsiaTheme="minorEastAsia" w:hAnsiTheme="minorHAnsi"/>
              <w:noProof/>
            </w:rPr>
          </w:pPr>
          <w:hyperlink w:anchor="_Toc141127712" w:history="1">
            <w:r w:rsidR="001F7B0B" w:rsidRPr="0043739A">
              <w:rPr>
                <w:rStyle w:val="Hyperlink"/>
                <w:noProof/>
              </w:rPr>
              <w:t>8.2</w:t>
            </w:r>
            <w:r w:rsidR="001F7B0B">
              <w:rPr>
                <w:rFonts w:asciiTheme="minorHAnsi" w:eastAsiaTheme="minorEastAsia" w:hAnsiTheme="minorHAnsi"/>
                <w:noProof/>
              </w:rPr>
              <w:tab/>
            </w:r>
            <w:r w:rsidR="001F7B0B" w:rsidRPr="0043739A">
              <w:rPr>
                <w:rStyle w:val="Hyperlink"/>
                <w:noProof/>
              </w:rPr>
              <w:t>Structures</w:t>
            </w:r>
            <w:r w:rsidR="001F7B0B">
              <w:rPr>
                <w:noProof/>
                <w:webHidden/>
              </w:rPr>
              <w:tab/>
            </w:r>
            <w:r w:rsidR="001F7B0B">
              <w:rPr>
                <w:noProof/>
                <w:webHidden/>
              </w:rPr>
              <w:fldChar w:fldCharType="begin"/>
            </w:r>
            <w:r w:rsidR="001F7B0B">
              <w:rPr>
                <w:noProof/>
                <w:webHidden/>
              </w:rPr>
              <w:instrText xml:space="preserve"> PAGEREF _Toc141127712 \h </w:instrText>
            </w:r>
            <w:r w:rsidR="001F7B0B">
              <w:rPr>
                <w:noProof/>
                <w:webHidden/>
              </w:rPr>
            </w:r>
            <w:r w:rsidR="001F7B0B">
              <w:rPr>
                <w:noProof/>
                <w:webHidden/>
              </w:rPr>
              <w:fldChar w:fldCharType="separate"/>
            </w:r>
            <w:r w:rsidR="001F7B0B">
              <w:rPr>
                <w:noProof/>
                <w:webHidden/>
              </w:rPr>
              <w:t>30</w:t>
            </w:r>
            <w:r w:rsidR="001F7B0B">
              <w:rPr>
                <w:noProof/>
                <w:webHidden/>
              </w:rPr>
              <w:fldChar w:fldCharType="end"/>
            </w:r>
          </w:hyperlink>
        </w:p>
        <w:p w14:paraId="603E3501" w14:textId="28406F97" w:rsidR="001F7B0B" w:rsidRDefault="009F2822">
          <w:pPr>
            <w:pStyle w:val="TOC2"/>
            <w:rPr>
              <w:rFonts w:asciiTheme="minorHAnsi" w:eastAsiaTheme="minorEastAsia" w:hAnsiTheme="minorHAnsi"/>
              <w:noProof/>
            </w:rPr>
          </w:pPr>
          <w:hyperlink w:anchor="_Toc141127713" w:history="1">
            <w:r w:rsidR="001F7B0B" w:rsidRPr="0043739A">
              <w:rPr>
                <w:rStyle w:val="Hyperlink"/>
                <w:noProof/>
              </w:rPr>
              <w:t>8.3</w:t>
            </w:r>
            <w:r w:rsidR="001F7B0B">
              <w:rPr>
                <w:rFonts w:asciiTheme="minorHAnsi" w:eastAsiaTheme="minorEastAsia" w:hAnsiTheme="minorHAnsi"/>
                <w:noProof/>
              </w:rPr>
              <w:tab/>
            </w:r>
            <w:r w:rsidR="001F7B0B" w:rsidRPr="0043739A">
              <w:rPr>
                <w:rStyle w:val="Hyperlink"/>
                <w:noProof/>
              </w:rPr>
              <w:t>Implementation Framework</w:t>
            </w:r>
            <w:r w:rsidR="001F7B0B">
              <w:rPr>
                <w:noProof/>
                <w:webHidden/>
              </w:rPr>
              <w:tab/>
            </w:r>
            <w:r w:rsidR="001F7B0B">
              <w:rPr>
                <w:noProof/>
                <w:webHidden/>
              </w:rPr>
              <w:fldChar w:fldCharType="begin"/>
            </w:r>
            <w:r w:rsidR="001F7B0B">
              <w:rPr>
                <w:noProof/>
                <w:webHidden/>
              </w:rPr>
              <w:instrText xml:space="preserve"> PAGEREF _Toc141127713 \h </w:instrText>
            </w:r>
            <w:r w:rsidR="001F7B0B">
              <w:rPr>
                <w:noProof/>
                <w:webHidden/>
              </w:rPr>
            </w:r>
            <w:r w:rsidR="001F7B0B">
              <w:rPr>
                <w:noProof/>
                <w:webHidden/>
              </w:rPr>
              <w:fldChar w:fldCharType="separate"/>
            </w:r>
            <w:r w:rsidR="001F7B0B">
              <w:rPr>
                <w:noProof/>
                <w:webHidden/>
              </w:rPr>
              <w:t>30</w:t>
            </w:r>
            <w:r w:rsidR="001F7B0B">
              <w:rPr>
                <w:noProof/>
                <w:webHidden/>
              </w:rPr>
              <w:fldChar w:fldCharType="end"/>
            </w:r>
          </w:hyperlink>
        </w:p>
        <w:p w14:paraId="4D84556F" w14:textId="5ACB6C08" w:rsidR="001F7B0B" w:rsidRDefault="009F2822">
          <w:pPr>
            <w:pStyle w:val="TOC2"/>
            <w:rPr>
              <w:rFonts w:asciiTheme="minorHAnsi" w:eastAsiaTheme="minorEastAsia" w:hAnsiTheme="minorHAnsi"/>
              <w:noProof/>
            </w:rPr>
          </w:pPr>
          <w:hyperlink w:anchor="_Toc141127714" w:history="1">
            <w:r w:rsidR="001F7B0B" w:rsidRPr="0043739A">
              <w:rPr>
                <w:rStyle w:val="Hyperlink"/>
                <w:noProof/>
              </w:rPr>
              <w:t>8.4</w:t>
            </w:r>
            <w:r w:rsidR="001F7B0B">
              <w:rPr>
                <w:rFonts w:asciiTheme="minorHAnsi" w:eastAsiaTheme="minorEastAsia" w:hAnsiTheme="minorHAnsi"/>
                <w:noProof/>
              </w:rPr>
              <w:tab/>
            </w:r>
            <w:r w:rsidR="001F7B0B" w:rsidRPr="0043739A">
              <w:rPr>
                <w:rStyle w:val="Hyperlink"/>
                <w:noProof/>
              </w:rPr>
              <w:t>Monitoring and Evaluation of the SGBV Policy and the SEA/SH Prevention and Response Action Plan</w:t>
            </w:r>
            <w:r w:rsidR="001F7B0B">
              <w:rPr>
                <w:noProof/>
                <w:webHidden/>
              </w:rPr>
              <w:tab/>
            </w:r>
            <w:r w:rsidR="001F7B0B">
              <w:rPr>
                <w:noProof/>
                <w:webHidden/>
              </w:rPr>
              <w:fldChar w:fldCharType="begin"/>
            </w:r>
            <w:r w:rsidR="001F7B0B">
              <w:rPr>
                <w:noProof/>
                <w:webHidden/>
              </w:rPr>
              <w:instrText xml:space="preserve"> PAGEREF _Toc141127714 \h </w:instrText>
            </w:r>
            <w:r w:rsidR="001F7B0B">
              <w:rPr>
                <w:noProof/>
                <w:webHidden/>
              </w:rPr>
            </w:r>
            <w:r w:rsidR="001F7B0B">
              <w:rPr>
                <w:noProof/>
                <w:webHidden/>
              </w:rPr>
              <w:fldChar w:fldCharType="separate"/>
            </w:r>
            <w:r w:rsidR="001F7B0B">
              <w:rPr>
                <w:noProof/>
                <w:webHidden/>
              </w:rPr>
              <w:t>31</w:t>
            </w:r>
            <w:r w:rsidR="001F7B0B">
              <w:rPr>
                <w:noProof/>
                <w:webHidden/>
              </w:rPr>
              <w:fldChar w:fldCharType="end"/>
            </w:r>
          </w:hyperlink>
        </w:p>
        <w:p w14:paraId="5A390CC0" w14:textId="68CE56A4" w:rsidR="00E40716" w:rsidRPr="00E71C48" w:rsidRDefault="00E40716" w:rsidP="00E71C48">
          <w:pPr>
            <w:spacing w:after="0" w:line="240" w:lineRule="auto"/>
            <w:jc w:val="both"/>
            <w:rPr>
              <w:rFonts w:ascii="Times New Roman" w:hAnsi="Times New Roman" w:cs="Times New Roman"/>
            </w:rPr>
          </w:pPr>
          <w:r w:rsidRPr="00E71C48">
            <w:rPr>
              <w:rFonts w:ascii="Times New Roman" w:hAnsi="Times New Roman" w:cs="Times New Roman"/>
            </w:rPr>
            <w:fldChar w:fldCharType="end"/>
          </w:r>
        </w:p>
      </w:sdtContent>
    </w:sdt>
    <w:p w14:paraId="2FC48BF5" w14:textId="77777777" w:rsidR="00E01795" w:rsidRPr="00E71C48" w:rsidRDefault="00E01795" w:rsidP="00E71C48">
      <w:pPr>
        <w:spacing w:after="0" w:line="240" w:lineRule="auto"/>
        <w:rPr>
          <w:rFonts w:ascii="Times New Roman" w:hAnsi="Times New Roman" w:cs="Times New Roman"/>
        </w:rPr>
        <w:sectPr w:rsidR="00E01795" w:rsidRPr="00E71C48" w:rsidSect="0000255F">
          <w:pgSz w:w="11900" w:h="16840" w:code="9"/>
          <w:pgMar w:top="1440" w:right="1440" w:bottom="1440" w:left="1440" w:header="720" w:footer="720" w:gutter="0"/>
          <w:cols w:space="720"/>
          <w:docGrid w:linePitch="360"/>
        </w:sectPr>
      </w:pPr>
    </w:p>
    <w:p w14:paraId="12A49D73" w14:textId="148AB0B3" w:rsidR="00E40716" w:rsidRPr="00B8152B" w:rsidRDefault="00062D7F" w:rsidP="00C9049F">
      <w:pPr>
        <w:pStyle w:val="Heading1"/>
        <w:rPr>
          <w:sz w:val="23"/>
          <w:szCs w:val="23"/>
        </w:rPr>
      </w:pPr>
      <w:bookmarkStart w:id="1" w:name="_Toc141127676"/>
      <w:r w:rsidRPr="00B8152B">
        <w:rPr>
          <w:sz w:val="23"/>
          <w:szCs w:val="23"/>
        </w:rPr>
        <w:lastRenderedPageBreak/>
        <w:t>INTRODUCTION</w:t>
      </w:r>
      <w:bookmarkEnd w:id="1"/>
    </w:p>
    <w:p w14:paraId="67DF0CC5" w14:textId="77777777" w:rsidR="00062D7F" w:rsidRPr="00B8152B" w:rsidRDefault="00062D7F" w:rsidP="00C9049F">
      <w:pPr>
        <w:spacing w:after="0" w:line="240" w:lineRule="auto"/>
        <w:jc w:val="both"/>
        <w:rPr>
          <w:rFonts w:ascii="Times New Roman" w:hAnsi="Times New Roman" w:cs="Times New Roman"/>
          <w:sz w:val="23"/>
          <w:szCs w:val="23"/>
        </w:rPr>
      </w:pPr>
    </w:p>
    <w:p w14:paraId="5035F373" w14:textId="4EB9C93F" w:rsidR="002A4170" w:rsidRPr="00B8152B" w:rsidRDefault="002A4170" w:rsidP="002A4170">
      <w:pPr>
        <w:spacing w:after="0" w:line="240" w:lineRule="auto"/>
        <w:jc w:val="both"/>
        <w:rPr>
          <w:rFonts w:ascii="Times New Roman" w:hAnsi="Times New Roman" w:cs="Times New Roman"/>
          <w:sz w:val="23"/>
          <w:szCs w:val="23"/>
        </w:rPr>
      </w:pPr>
      <w:r w:rsidRPr="00B8152B">
        <w:rPr>
          <w:rFonts w:ascii="Times New Roman" w:hAnsi="Times New Roman" w:cs="Times New Roman"/>
          <w:sz w:val="23"/>
          <w:szCs w:val="23"/>
        </w:rPr>
        <w:t xml:space="preserve">This </w:t>
      </w:r>
      <w:r w:rsidR="006224CF">
        <w:rPr>
          <w:rFonts w:ascii="Times New Roman" w:hAnsi="Times New Roman" w:cs="Times New Roman"/>
          <w:sz w:val="23"/>
          <w:szCs w:val="23"/>
        </w:rPr>
        <w:t>Sexual Exploitation and Abuse/Sexual Harassment (</w:t>
      </w:r>
      <w:r w:rsidRPr="00B8152B">
        <w:rPr>
          <w:rFonts w:ascii="Times New Roman" w:hAnsi="Times New Roman" w:cs="Times New Roman"/>
          <w:sz w:val="23"/>
          <w:szCs w:val="23"/>
        </w:rPr>
        <w:t>SEA/SH</w:t>
      </w:r>
      <w:r w:rsidR="006224CF">
        <w:rPr>
          <w:rFonts w:ascii="Times New Roman" w:hAnsi="Times New Roman" w:cs="Times New Roman"/>
          <w:sz w:val="23"/>
          <w:szCs w:val="23"/>
        </w:rPr>
        <w:t>)</w:t>
      </w:r>
      <w:r w:rsidRPr="00B8152B">
        <w:rPr>
          <w:rFonts w:ascii="Times New Roman" w:hAnsi="Times New Roman" w:cs="Times New Roman"/>
          <w:sz w:val="23"/>
          <w:szCs w:val="23"/>
        </w:rPr>
        <w:t xml:space="preserve"> Prevention and Response Action Plan outlines how the project will put in place the necessary protocols and mechanisms to address SEA/SH risks; and how to address any SEA/SH allegations that may arise. This is the new name for the GBV Action Plan, as used in the original (2018) </w:t>
      </w:r>
      <w:r w:rsidR="00F16DA9" w:rsidRPr="00B8152B">
        <w:rPr>
          <w:rFonts w:ascii="Times New Roman" w:hAnsi="Times New Roman" w:cs="Times New Roman"/>
          <w:sz w:val="23"/>
          <w:szCs w:val="23"/>
        </w:rPr>
        <w:t xml:space="preserve">World Bank Group </w:t>
      </w:r>
      <w:r w:rsidR="0009284F" w:rsidRPr="00B8152B">
        <w:rPr>
          <w:rFonts w:ascii="Times New Roman" w:hAnsi="Times New Roman" w:cs="Times New Roman"/>
          <w:sz w:val="23"/>
          <w:szCs w:val="23"/>
        </w:rPr>
        <w:t>SEA/SH Good Practice Note</w:t>
      </w:r>
      <w:r w:rsidRPr="00B8152B">
        <w:rPr>
          <w:rFonts w:ascii="Times New Roman" w:hAnsi="Times New Roman" w:cs="Times New Roman"/>
          <w:sz w:val="23"/>
          <w:szCs w:val="23"/>
        </w:rPr>
        <w:t>. The SEA/SH Prevention and Response Action Plan include</w:t>
      </w:r>
      <w:r w:rsidR="00481EE7" w:rsidRPr="00B8152B">
        <w:rPr>
          <w:rFonts w:ascii="Times New Roman" w:hAnsi="Times New Roman" w:cs="Times New Roman"/>
          <w:sz w:val="23"/>
          <w:szCs w:val="23"/>
        </w:rPr>
        <w:t>s</w:t>
      </w:r>
      <w:r w:rsidRPr="00B8152B">
        <w:rPr>
          <w:rFonts w:ascii="Times New Roman" w:hAnsi="Times New Roman" w:cs="Times New Roman"/>
          <w:sz w:val="23"/>
          <w:szCs w:val="23"/>
        </w:rPr>
        <w:t xml:space="preserve"> an Accountability and Response Framework, which details how allegations of SEA/SH will be handled (investigation procedures) and disciplinary action for violation of the Code of Conduct (CoC) by </w:t>
      </w:r>
      <w:r w:rsidR="001F7B0B" w:rsidRPr="00B8152B">
        <w:rPr>
          <w:rFonts w:ascii="Times New Roman" w:hAnsi="Times New Roman" w:cs="Times New Roman"/>
          <w:sz w:val="23"/>
          <w:szCs w:val="23"/>
        </w:rPr>
        <w:t>workers.</w:t>
      </w:r>
      <w:r w:rsidR="00C371B4">
        <w:rPr>
          <w:rFonts w:ascii="Times New Roman" w:hAnsi="Times New Roman" w:cs="Times New Roman"/>
          <w:sz w:val="23"/>
          <w:szCs w:val="23"/>
        </w:rPr>
        <w:t xml:space="preserve"> The project</w:t>
      </w:r>
      <w:r w:rsidR="00785AF0">
        <w:rPr>
          <w:rFonts w:ascii="Times New Roman" w:hAnsi="Times New Roman" w:cs="Times New Roman"/>
          <w:sz w:val="23"/>
          <w:szCs w:val="23"/>
        </w:rPr>
        <w:t xml:space="preserve">’s SEA/SH classification is </w:t>
      </w:r>
      <w:r w:rsidR="00785AF0" w:rsidRPr="00AA38C6">
        <w:rPr>
          <w:rFonts w:ascii="Times New Roman" w:hAnsi="Times New Roman" w:cs="Times New Roman"/>
          <w:b/>
          <w:bCs/>
          <w:sz w:val="23"/>
          <w:szCs w:val="23"/>
        </w:rPr>
        <w:t>moderate,</w:t>
      </w:r>
      <w:r w:rsidR="00785AF0">
        <w:rPr>
          <w:rFonts w:ascii="Times New Roman" w:hAnsi="Times New Roman" w:cs="Times New Roman"/>
          <w:sz w:val="23"/>
          <w:szCs w:val="23"/>
        </w:rPr>
        <w:t xml:space="preserve"> this will guide the proposed mi</w:t>
      </w:r>
      <w:r w:rsidR="00AA38C6">
        <w:rPr>
          <w:rFonts w:ascii="Times New Roman" w:hAnsi="Times New Roman" w:cs="Times New Roman"/>
          <w:sz w:val="23"/>
          <w:szCs w:val="23"/>
        </w:rPr>
        <w:t>tigation measures under the project.</w:t>
      </w:r>
    </w:p>
    <w:p w14:paraId="745A8890" w14:textId="77777777" w:rsidR="002A4170" w:rsidRPr="00B8152B" w:rsidRDefault="002A4170" w:rsidP="00C9049F">
      <w:pPr>
        <w:spacing w:after="0" w:line="240" w:lineRule="auto"/>
        <w:jc w:val="both"/>
        <w:rPr>
          <w:rFonts w:ascii="Times New Roman" w:hAnsi="Times New Roman" w:cs="Times New Roman"/>
          <w:sz w:val="23"/>
          <w:szCs w:val="23"/>
        </w:rPr>
      </w:pPr>
    </w:p>
    <w:p w14:paraId="4CBCE960" w14:textId="5AB1352D" w:rsidR="00062D7F" w:rsidRPr="00B8152B" w:rsidRDefault="00A26166" w:rsidP="00C9049F">
      <w:pPr>
        <w:spacing w:after="0" w:line="240" w:lineRule="auto"/>
        <w:jc w:val="both"/>
        <w:rPr>
          <w:rFonts w:ascii="Times New Roman" w:hAnsi="Times New Roman" w:cs="Times New Roman"/>
          <w:sz w:val="23"/>
          <w:szCs w:val="23"/>
        </w:rPr>
      </w:pPr>
      <w:r w:rsidRPr="00B8152B">
        <w:rPr>
          <w:rFonts w:ascii="Times New Roman" w:hAnsi="Times New Roman" w:cs="Times New Roman"/>
          <w:sz w:val="23"/>
          <w:szCs w:val="23"/>
        </w:rPr>
        <w:t xml:space="preserve">The </w:t>
      </w:r>
      <w:r w:rsidR="00E9328E">
        <w:rPr>
          <w:rFonts w:ascii="Times New Roman" w:hAnsi="Times New Roman" w:cs="Times New Roman"/>
          <w:sz w:val="23"/>
          <w:szCs w:val="23"/>
        </w:rPr>
        <w:t>Environmental and Social Framework (</w:t>
      </w:r>
      <w:r w:rsidRPr="00B8152B">
        <w:rPr>
          <w:rFonts w:ascii="Times New Roman" w:hAnsi="Times New Roman" w:cs="Times New Roman"/>
          <w:sz w:val="23"/>
          <w:szCs w:val="23"/>
        </w:rPr>
        <w:t>ESF</w:t>
      </w:r>
      <w:r w:rsidR="00464C12">
        <w:rPr>
          <w:rFonts w:ascii="Times New Roman" w:hAnsi="Times New Roman" w:cs="Times New Roman"/>
          <w:sz w:val="23"/>
          <w:szCs w:val="23"/>
        </w:rPr>
        <w:t>),</w:t>
      </w:r>
      <w:r w:rsidRPr="00B8152B">
        <w:rPr>
          <w:rFonts w:ascii="Times New Roman" w:hAnsi="Times New Roman" w:cs="Times New Roman"/>
          <w:sz w:val="23"/>
          <w:szCs w:val="23"/>
        </w:rPr>
        <w:t xml:space="preserve"> Environmental and Social Standards (ESSs) set out the requirements for Bank projects relating to the identification and assessment of environmental and social risks and impacts associated with projects supported by the World Bank. While the ESF itself does not explicitly mention SEA/SH, various ESSs are in alignment with the recommendations of this </w:t>
      </w:r>
      <w:r w:rsidR="00464C12">
        <w:rPr>
          <w:rFonts w:ascii="Times New Roman" w:hAnsi="Times New Roman" w:cs="Times New Roman"/>
          <w:sz w:val="23"/>
          <w:szCs w:val="23"/>
        </w:rPr>
        <w:t>Good Practice Note (</w:t>
      </w:r>
      <w:r w:rsidRPr="00B8152B">
        <w:rPr>
          <w:rFonts w:ascii="Times New Roman" w:hAnsi="Times New Roman" w:cs="Times New Roman"/>
          <w:sz w:val="23"/>
          <w:szCs w:val="23"/>
        </w:rPr>
        <w:t>GPN</w:t>
      </w:r>
      <w:r w:rsidR="00464C12">
        <w:rPr>
          <w:rFonts w:ascii="Times New Roman" w:hAnsi="Times New Roman" w:cs="Times New Roman"/>
          <w:sz w:val="23"/>
          <w:szCs w:val="23"/>
        </w:rPr>
        <w:t>)</w:t>
      </w:r>
      <w:r w:rsidRPr="00B8152B">
        <w:rPr>
          <w:rFonts w:ascii="Times New Roman" w:hAnsi="Times New Roman" w:cs="Times New Roman"/>
          <w:sz w:val="23"/>
          <w:szCs w:val="23"/>
        </w:rPr>
        <w:t xml:space="preserve"> for addressing SEA/SH, including: • ESS1: Assessment and Management of Environmental and Social Risks and Impacts; • ESS2: Labor and Working Conditions; • ESS4: Community Health and Safety; and • ESS10: Stakeholder Engagement and Information Disclosure.</w:t>
      </w:r>
    </w:p>
    <w:p w14:paraId="338286C1" w14:textId="77777777" w:rsidR="00102EA8" w:rsidRPr="00B8152B" w:rsidRDefault="00102EA8" w:rsidP="00C9049F">
      <w:pPr>
        <w:spacing w:after="0" w:line="240" w:lineRule="auto"/>
        <w:jc w:val="both"/>
        <w:rPr>
          <w:rFonts w:ascii="Times New Roman" w:hAnsi="Times New Roman" w:cs="Times New Roman"/>
          <w:sz w:val="23"/>
          <w:szCs w:val="23"/>
        </w:rPr>
      </w:pPr>
    </w:p>
    <w:p w14:paraId="73A958F5" w14:textId="559642B1" w:rsidR="00102EA8" w:rsidRPr="00B8152B" w:rsidRDefault="00102EA8" w:rsidP="00C9049F">
      <w:pPr>
        <w:spacing w:after="0" w:line="240" w:lineRule="auto"/>
        <w:jc w:val="both"/>
        <w:rPr>
          <w:rFonts w:ascii="Times New Roman" w:hAnsi="Times New Roman" w:cs="Times New Roman"/>
          <w:sz w:val="23"/>
          <w:szCs w:val="23"/>
        </w:rPr>
      </w:pPr>
      <w:r w:rsidRPr="00B8152B">
        <w:rPr>
          <w:rFonts w:ascii="Times New Roman" w:hAnsi="Times New Roman" w:cs="Times New Roman"/>
          <w:sz w:val="23"/>
          <w:szCs w:val="23"/>
        </w:rPr>
        <w:t xml:space="preserve">The SEA/SH classification for the project is moderate. Under the WBG 2022 </w:t>
      </w:r>
      <w:r w:rsidR="00B8152B" w:rsidRPr="00B8152B">
        <w:rPr>
          <w:rFonts w:ascii="Times New Roman" w:hAnsi="Times New Roman" w:cs="Times New Roman"/>
          <w:sz w:val="23"/>
          <w:szCs w:val="23"/>
        </w:rPr>
        <w:t xml:space="preserve">Good Practice Note, </w:t>
      </w:r>
      <w:r w:rsidRPr="00B8152B">
        <w:rPr>
          <w:rFonts w:ascii="Times New Roman" w:hAnsi="Times New Roman" w:cs="Times New Roman"/>
          <w:sz w:val="23"/>
          <w:szCs w:val="23"/>
        </w:rPr>
        <w:t>SEA and SH are manifestations of GBV. There are four broad categories of GBV that may be relevant to World Bank-financed IPF involving major civil works. However, since SEA and workplace SH are the types of GBV most relevant to IPF, the risk identification and mitigation of these forms of GBV are the primary focus of this GPN.</w:t>
      </w:r>
    </w:p>
    <w:p w14:paraId="75483262" w14:textId="77777777" w:rsidR="00A26166" w:rsidRPr="00B8152B" w:rsidRDefault="00A26166" w:rsidP="00C9049F">
      <w:pPr>
        <w:spacing w:after="0" w:line="240" w:lineRule="auto"/>
        <w:jc w:val="both"/>
        <w:rPr>
          <w:rFonts w:ascii="Times New Roman" w:hAnsi="Times New Roman" w:cs="Times New Roman"/>
          <w:sz w:val="23"/>
          <w:szCs w:val="23"/>
        </w:rPr>
      </w:pPr>
    </w:p>
    <w:p w14:paraId="0700B517" w14:textId="3458FA27" w:rsidR="00E40716" w:rsidRPr="00B8152B" w:rsidRDefault="00E40716" w:rsidP="00C9049F">
      <w:pPr>
        <w:pStyle w:val="Heading2"/>
        <w:jc w:val="both"/>
        <w:rPr>
          <w:sz w:val="23"/>
          <w:szCs w:val="23"/>
        </w:rPr>
      </w:pPr>
      <w:bookmarkStart w:id="2" w:name="_Toc141127677"/>
      <w:r w:rsidRPr="00B8152B">
        <w:rPr>
          <w:sz w:val="23"/>
          <w:szCs w:val="23"/>
        </w:rPr>
        <w:t>Project Description</w:t>
      </w:r>
      <w:bookmarkEnd w:id="2"/>
    </w:p>
    <w:p w14:paraId="0E8C384F" w14:textId="77777777" w:rsidR="00062D7F" w:rsidRPr="00C9049F" w:rsidRDefault="00062D7F" w:rsidP="00C9049F">
      <w:pPr>
        <w:spacing w:after="0" w:line="240" w:lineRule="auto"/>
        <w:jc w:val="both"/>
        <w:rPr>
          <w:rFonts w:ascii="Times New Roman" w:hAnsi="Times New Roman" w:cs="Times New Roman"/>
          <w:b/>
          <w:bCs/>
          <w:sz w:val="24"/>
          <w:szCs w:val="24"/>
        </w:rPr>
      </w:pPr>
    </w:p>
    <w:p w14:paraId="29345446" w14:textId="5F04FB4E" w:rsidR="000B7737" w:rsidRPr="00971226" w:rsidRDefault="00557340" w:rsidP="000B7737">
      <w:pPr>
        <w:pStyle w:val="ListParagraph"/>
        <w:spacing w:after="0" w:line="240" w:lineRule="auto"/>
        <w:ind w:left="0"/>
        <w:jc w:val="both"/>
        <w:rPr>
          <w:rFonts w:ascii="Times New Roman" w:hAnsi="Times New Roman" w:cs="Times New Roman"/>
          <w:sz w:val="24"/>
          <w:szCs w:val="24"/>
        </w:rPr>
      </w:pPr>
      <w:r w:rsidRPr="00C9049F">
        <w:rPr>
          <w:rFonts w:ascii="Times New Roman" w:hAnsi="Times New Roman" w:cs="Times New Roman"/>
          <w:sz w:val="24"/>
          <w:szCs w:val="24"/>
        </w:rPr>
        <w:t xml:space="preserve">Kenya Digital Economy Acceleration Program seeks to expand access to high-speed internet, improve the efficiency of education and government services and administration, </w:t>
      </w:r>
      <w:r w:rsidR="005E5A83" w:rsidRPr="00C9049F">
        <w:rPr>
          <w:rFonts w:ascii="Times New Roman" w:hAnsi="Times New Roman" w:cs="Times New Roman"/>
          <w:sz w:val="24"/>
          <w:szCs w:val="24"/>
        </w:rPr>
        <w:t>and</w:t>
      </w:r>
      <w:r w:rsidRPr="00C9049F">
        <w:rPr>
          <w:rFonts w:ascii="Times New Roman" w:hAnsi="Times New Roman" w:cs="Times New Roman"/>
          <w:sz w:val="24"/>
          <w:szCs w:val="24"/>
        </w:rPr>
        <w:t xml:space="preserve"> build digital skills for the economy. </w:t>
      </w:r>
    </w:p>
    <w:p w14:paraId="7EF2653F" w14:textId="77777777" w:rsidR="00062D7F" w:rsidRPr="00C9049F" w:rsidRDefault="00062D7F" w:rsidP="00C9049F">
      <w:pPr>
        <w:spacing w:after="0" w:line="240" w:lineRule="auto"/>
        <w:jc w:val="both"/>
        <w:rPr>
          <w:rFonts w:ascii="Times New Roman" w:hAnsi="Times New Roman" w:cs="Times New Roman"/>
          <w:sz w:val="24"/>
          <w:szCs w:val="24"/>
        </w:rPr>
      </w:pPr>
    </w:p>
    <w:p w14:paraId="3045AE0C" w14:textId="357FABD5" w:rsidR="00E40716" w:rsidRPr="00C9049F" w:rsidRDefault="00E40716" w:rsidP="00C9049F">
      <w:pPr>
        <w:pStyle w:val="Heading2"/>
        <w:jc w:val="both"/>
      </w:pPr>
      <w:bookmarkStart w:id="3" w:name="_Toc141127678"/>
      <w:r w:rsidRPr="00C9049F">
        <w:t>Project Component</w:t>
      </w:r>
      <w:bookmarkEnd w:id="3"/>
    </w:p>
    <w:p w14:paraId="41A36C54" w14:textId="77777777" w:rsidR="00062D7F" w:rsidRPr="00C9049F" w:rsidRDefault="00062D7F" w:rsidP="00C9049F">
      <w:pPr>
        <w:spacing w:after="0" w:line="240" w:lineRule="auto"/>
        <w:jc w:val="both"/>
        <w:rPr>
          <w:rFonts w:ascii="Times New Roman" w:hAnsi="Times New Roman" w:cs="Times New Roman"/>
          <w:b/>
          <w:bCs/>
          <w:sz w:val="24"/>
          <w:szCs w:val="24"/>
        </w:rPr>
      </w:pPr>
    </w:p>
    <w:p w14:paraId="6AE5494D" w14:textId="77777777" w:rsidR="0029061D" w:rsidRPr="0029061D" w:rsidRDefault="008E5884" w:rsidP="0029061D">
      <w:pPr>
        <w:pStyle w:val="ListParagraph"/>
        <w:spacing w:after="0" w:line="240" w:lineRule="auto"/>
        <w:ind w:left="0"/>
        <w:jc w:val="both"/>
        <w:rPr>
          <w:rFonts w:ascii="Times New Roman" w:hAnsi="Times New Roman" w:cs="Times New Roman"/>
          <w:sz w:val="23"/>
          <w:szCs w:val="23"/>
        </w:rPr>
      </w:pPr>
      <w:r w:rsidRPr="00C9049F">
        <w:rPr>
          <w:rFonts w:ascii="Times New Roman" w:hAnsi="Times New Roman" w:cs="Times New Roman"/>
          <w:sz w:val="24"/>
          <w:szCs w:val="24"/>
        </w:rPr>
        <w:t xml:space="preserve">The program will employ a Multiphase Programmatic Approach (MPA). MPA provides a more flexible and adaptive environment to achieve the Program goals with consistency and focus </w:t>
      </w:r>
      <w:r w:rsidRPr="0029061D">
        <w:rPr>
          <w:rFonts w:ascii="Times New Roman" w:hAnsi="Times New Roman" w:cs="Times New Roman"/>
          <w:sz w:val="23"/>
          <w:szCs w:val="23"/>
        </w:rPr>
        <w:t xml:space="preserve">over the long term. </w:t>
      </w:r>
      <w:r w:rsidR="00971226" w:rsidRPr="0029061D">
        <w:rPr>
          <w:rFonts w:ascii="Times New Roman" w:hAnsi="Times New Roman" w:cs="Times New Roman"/>
          <w:sz w:val="23"/>
          <w:szCs w:val="23"/>
        </w:rPr>
        <w:t>The PDO of Phase 1 (KDEAP) is to enhance digital infrastructure, services and skills for inclusive participation in the digital economy.</w:t>
      </w:r>
      <w:r w:rsidR="0029061D" w:rsidRPr="0029061D">
        <w:rPr>
          <w:rFonts w:ascii="Times New Roman" w:hAnsi="Times New Roman" w:cs="Times New Roman"/>
          <w:sz w:val="23"/>
          <w:szCs w:val="23"/>
        </w:rPr>
        <w:t xml:space="preserve"> The PDO level indicators are:</w:t>
      </w:r>
    </w:p>
    <w:p w14:paraId="793A0D26" w14:textId="77777777" w:rsidR="0029061D" w:rsidRPr="0029061D" w:rsidRDefault="0029061D" w:rsidP="009924D9">
      <w:pPr>
        <w:numPr>
          <w:ilvl w:val="0"/>
          <w:numId w:val="28"/>
        </w:numPr>
        <w:spacing w:after="0" w:line="240" w:lineRule="auto"/>
        <w:jc w:val="both"/>
        <w:rPr>
          <w:rFonts w:ascii="Times New Roman" w:hAnsi="Times New Roman" w:cs="Times New Roman"/>
          <w:sz w:val="23"/>
          <w:szCs w:val="23"/>
        </w:rPr>
      </w:pPr>
      <w:r w:rsidRPr="0029061D">
        <w:rPr>
          <w:rFonts w:ascii="Times New Roman" w:hAnsi="Times New Roman" w:cs="Times New Roman"/>
          <w:sz w:val="23"/>
          <w:szCs w:val="23"/>
        </w:rPr>
        <w:t xml:space="preserve">Estimated percentage of the population who are internet users (of which, % female); </w:t>
      </w:r>
    </w:p>
    <w:p w14:paraId="43176683" w14:textId="77777777" w:rsidR="0029061D" w:rsidRPr="0029061D" w:rsidRDefault="0029061D" w:rsidP="009924D9">
      <w:pPr>
        <w:numPr>
          <w:ilvl w:val="0"/>
          <w:numId w:val="28"/>
        </w:numPr>
        <w:spacing w:after="0" w:line="240" w:lineRule="auto"/>
        <w:jc w:val="both"/>
        <w:rPr>
          <w:rFonts w:ascii="Times New Roman" w:hAnsi="Times New Roman" w:cs="Times New Roman"/>
          <w:sz w:val="23"/>
          <w:szCs w:val="23"/>
        </w:rPr>
      </w:pPr>
      <w:r w:rsidRPr="0029061D">
        <w:rPr>
          <w:rFonts w:ascii="Times New Roman" w:hAnsi="Times New Roman" w:cs="Times New Roman"/>
          <w:sz w:val="23"/>
          <w:szCs w:val="23"/>
        </w:rPr>
        <w:t>Institutions provided with new or enhanced access to the internet under the project;</w:t>
      </w:r>
    </w:p>
    <w:p w14:paraId="73C4853B" w14:textId="77777777" w:rsidR="0029061D" w:rsidRPr="0029061D" w:rsidRDefault="0029061D" w:rsidP="009924D9">
      <w:pPr>
        <w:numPr>
          <w:ilvl w:val="0"/>
          <w:numId w:val="28"/>
        </w:numPr>
        <w:spacing w:after="0" w:line="240" w:lineRule="auto"/>
        <w:jc w:val="both"/>
        <w:rPr>
          <w:rFonts w:ascii="Times New Roman" w:hAnsi="Times New Roman" w:cs="Times New Roman"/>
          <w:sz w:val="23"/>
          <w:szCs w:val="23"/>
        </w:rPr>
      </w:pPr>
      <w:r w:rsidRPr="0029061D">
        <w:rPr>
          <w:rFonts w:ascii="Times New Roman" w:hAnsi="Times New Roman" w:cs="Times New Roman"/>
          <w:sz w:val="23"/>
          <w:szCs w:val="23"/>
        </w:rPr>
        <w:t>Number of government services that are available online; and</w:t>
      </w:r>
    </w:p>
    <w:p w14:paraId="553819E0" w14:textId="77777777" w:rsidR="0029061D" w:rsidRPr="0029061D" w:rsidRDefault="0029061D" w:rsidP="009924D9">
      <w:pPr>
        <w:numPr>
          <w:ilvl w:val="0"/>
          <w:numId w:val="28"/>
        </w:numPr>
        <w:spacing w:after="0" w:line="240" w:lineRule="auto"/>
        <w:jc w:val="both"/>
        <w:rPr>
          <w:rFonts w:ascii="Times New Roman" w:hAnsi="Times New Roman" w:cs="Times New Roman"/>
          <w:sz w:val="23"/>
          <w:szCs w:val="23"/>
        </w:rPr>
      </w:pPr>
      <w:r w:rsidRPr="0029061D">
        <w:rPr>
          <w:rFonts w:ascii="Times New Roman" w:hAnsi="Times New Roman" w:cs="Times New Roman"/>
          <w:sz w:val="23"/>
          <w:szCs w:val="23"/>
        </w:rPr>
        <w:t>Number of students provided with enhanced internet access and/or new digital skills under the project (of which, % female).</w:t>
      </w:r>
    </w:p>
    <w:p w14:paraId="0DCFD85A" w14:textId="79ABA698" w:rsidR="00FB2673" w:rsidRDefault="00FB2673" w:rsidP="0086297D">
      <w:pPr>
        <w:spacing w:after="0" w:line="240" w:lineRule="auto"/>
        <w:jc w:val="both"/>
        <w:rPr>
          <w:rFonts w:ascii="Times New Roman" w:hAnsi="Times New Roman" w:cs="Times New Roman"/>
          <w:sz w:val="24"/>
          <w:szCs w:val="24"/>
        </w:rPr>
      </w:pPr>
    </w:p>
    <w:p w14:paraId="3B1CC927" w14:textId="77777777" w:rsidR="00C54451" w:rsidRDefault="00C54451" w:rsidP="0086297D">
      <w:pPr>
        <w:spacing w:after="0" w:line="240" w:lineRule="auto"/>
        <w:jc w:val="both"/>
        <w:rPr>
          <w:rFonts w:ascii="Times New Roman" w:hAnsi="Times New Roman" w:cs="Times New Roman"/>
          <w:sz w:val="24"/>
          <w:szCs w:val="24"/>
        </w:rPr>
      </w:pPr>
    </w:p>
    <w:p w14:paraId="58457945" w14:textId="77777777" w:rsidR="00C54451" w:rsidRDefault="00C54451" w:rsidP="0086297D">
      <w:pPr>
        <w:spacing w:after="0" w:line="240" w:lineRule="auto"/>
        <w:jc w:val="both"/>
        <w:rPr>
          <w:rFonts w:ascii="Times New Roman" w:hAnsi="Times New Roman" w:cs="Times New Roman"/>
          <w:sz w:val="24"/>
          <w:szCs w:val="24"/>
        </w:rPr>
      </w:pPr>
    </w:p>
    <w:p w14:paraId="0648FCA3" w14:textId="77777777" w:rsidR="00C54451" w:rsidRPr="00C9049F" w:rsidRDefault="00C54451" w:rsidP="0086297D">
      <w:pPr>
        <w:spacing w:after="0" w:line="240" w:lineRule="auto"/>
        <w:jc w:val="both"/>
        <w:rPr>
          <w:rFonts w:ascii="Times New Roman" w:hAnsi="Times New Roman" w:cs="Times New Roman"/>
          <w:sz w:val="24"/>
          <w:szCs w:val="24"/>
        </w:rPr>
      </w:pPr>
    </w:p>
    <w:p w14:paraId="62CBC814" w14:textId="60AC4046" w:rsidR="006B1069" w:rsidRPr="0086297D" w:rsidRDefault="00E40716" w:rsidP="0086297D">
      <w:pPr>
        <w:pStyle w:val="Heading3"/>
        <w:rPr>
          <w:bCs/>
        </w:rPr>
      </w:pPr>
      <w:bookmarkStart w:id="4" w:name="_Toc141127679"/>
      <w:r w:rsidRPr="0086297D">
        <w:lastRenderedPageBreak/>
        <w:t xml:space="preserve">Component 1: </w:t>
      </w:r>
      <w:r w:rsidR="00656A58" w:rsidRPr="0086297D">
        <w:rPr>
          <w:bCs/>
        </w:rPr>
        <w:t>Broadband Infrastructure and Access</w:t>
      </w:r>
      <w:r w:rsidR="0086297D" w:rsidRPr="0086297D">
        <w:rPr>
          <w:bCs/>
        </w:rPr>
        <w:t xml:space="preserve"> </w:t>
      </w:r>
      <w:r w:rsidR="006B1069" w:rsidRPr="0086297D">
        <w:t>(US$320 million, including US$190 million equivalent from IDA SUW; US$10 million equivalent from national IDA, US$20 million equivalent from Regional IDA, and US$100 million expected in unguaranteed commercial financing)</w:t>
      </w:r>
      <w:bookmarkEnd w:id="4"/>
    </w:p>
    <w:p w14:paraId="3EC79782" w14:textId="77777777" w:rsidR="006B1069" w:rsidRPr="0086297D" w:rsidRDefault="006B1069" w:rsidP="0086297D">
      <w:pPr>
        <w:spacing w:after="0" w:line="240" w:lineRule="auto"/>
        <w:jc w:val="both"/>
        <w:rPr>
          <w:rFonts w:ascii="Bookman Old Style" w:hAnsi="Bookman Old Style"/>
          <w:b/>
          <w:bCs/>
        </w:rPr>
      </w:pPr>
    </w:p>
    <w:p w14:paraId="0A0C33D1" w14:textId="5A873139" w:rsidR="006B1069" w:rsidRPr="006B1069" w:rsidRDefault="006B1069" w:rsidP="00991A0E">
      <w:pPr>
        <w:pStyle w:val="ListParagraph"/>
        <w:spacing w:after="0" w:line="240" w:lineRule="auto"/>
        <w:ind w:left="0"/>
        <w:jc w:val="both"/>
        <w:rPr>
          <w:rFonts w:ascii="Times New Roman" w:hAnsi="Times New Roman" w:cs="Times New Roman"/>
          <w:sz w:val="24"/>
          <w:szCs w:val="24"/>
        </w:rPr>
      </w:pPr>
      <w:r w:rsidRPr="006B1069">
        <w:rPr>
          <w:rFonts w:ascii="Times New Roman" w:hAnsi="Times New Roman" w:cs="Times New Roman"/>
          <w:sz w:val="24"/>
          <w:szCs w:val="24"/>
        </w:rPr>
        <w:t>The aim of this component is to increase access to high-speed internet for individuals, industry, and government</w:t>
      </w:r>
      <w:r w:rsidR="007161D1">
        <w:rPr>
          <w:rFonts w:ascii="Times New Roman" w:hAnsi="Times New Roman" w:cs="Times New Roman"/>
          <w:sz w:val="24"/>
          <w:szCs w:val="24"/>
        </w:rPr>
        <w:t xml:space="preserve"> </w:t>
      </w:r>
      <w:r w:rsidRPr="006B1069">
        <w:rPr>
          <w:rFonts w:ascii="Times New Roman" w:hAnsi="Times New Roman" w:cs="Times New Roman"/>
          <w:sz w:val="24"/>
          <w:szCs w:val="24"/>
        </w:rPr>
        <w:t>the ‘foundation of the foundations’ of a digital economy and strengthen Kenya’s role as regional digital leader</w:t>
      </w:r>
      <w:r w:rsidR="007161D1">
        <w:rPr>
          <w:rFonts w:ascii="Times New Roman" w:hAnsi="Times New Roman" w:cs="Times New Roman"/>
          <w:sz w:val="24"/>
          <w:szCs w:val="24"/>
        </w:rPr>
        <w:t xml:space="preserve"> </w:t>
      </w:r>
      <w:r w:rsidRPr="006B1069">
        <w:rPr>
          <w:rFonts w:ascii="Times New Roman" w:hAnsi="Times New Roman" w:cs="Times New Roman"/>
          <w:sz w:val="24"/>
          <w:szCs w:val="24"/>
        </w:rPr>
        <w:t>while leveraging matching investments from the private sector. Public funds will be used to unlock commercial infrastructure investments in the backbone (1.1), the last mile for education (1.2) and regional infrastructure (R1.5) to better serve rural areas, borderlands and roll out next generation connectivity services and technologies. The investment will be carried out by network operators, using the mechanism of matching investments (also known as “gap financing”) from project funds and the USF to stimulate commercial investment in a ratio of roughly 2:3 (i.e., US$2 of commercial investment for every US$3 of public funds). The project design uses public infrastructure investments (from project funds and the USF) to fill gaps in the public network and connect critical public institutions and service locations. These cover universities, TVETs, and schools in subcomponent 1.2, government MCDAs in subcomponent 1.3, and borderland areas in R1.5, in addition to healthcare centers and law courts in Phase 2. As well as targeting supply side interventions, this component will directly aid in increasing demand-side participation and inclusion in the digital economy—among the poor, rural communities, women, PWDs and refugee camps and their host communities—by enhancing accessibility and thereby supporting their productive participation in the digital economy.</w:t>
      </w:r>
    </w:p>
    <w:p w14:paraId="32D9A641" w14:textId="77777777" w:rsidR="006B1069" w:rsidRPr="00C9049F" w:rsidRDefault="006B1069" w:rsidP="00991A0E">
      <w:pPr>
        <w:spacing w:after="0" w:line="240" w:lineRule="auto"/>
        <w:jc w:val="both"/>
        <w:rPr>
          <w:rFonts w:ascii="Times New Roman" w:hAnsi="Times New Roman" w:cs="Times New Roman"/>
          <w:sz w:val="24"/>
          <w:szCs w:val="24"/>
        </w:rPr>
      </w:pPr>
    </w:p>
    <w:p w14:paraId="51D951F3" w14:textId="461ED1E6" w:rsidR="00DE1FFA" w:rsidRPr="00991A0E" w:rsidRDefault="00DE1FFA" w:rsidP="00991A0E">
      <w:pPr>
        <w:pStyle w:val="Heading3"/>
      </w:pPr>
      <w:bookmarkStart w:id="5" w:name="_Toc141127680"/>
      <w:r>
        <w:t xml:space="preserve">Component 2 : </w:t>
      </w:r>
      <w:r w:rsidRPr="00991A0E">
        <w:rPr>
          <w:rFonts w:cstheme="minorHAnsi"/>
          <w:szCs w:val="22"/>
        </w:rPr>
        <w:t>Digital Government and Services</w:t>
      </w:r>
      <w:r w:rsidRPr="00991A0E">
        <w:t xml:space="preserve"> (US$104 million IDA</w:t>
      </w:r>
      <w:r w:rsidRPr="00991A0E">
        <w:rPr>
          <w:rFonts w:cstheme="minorHAnsi"/>
          <w:szCs w:val="22"/>
        </w:rPr>
        <w:t xml:space="preserve"> equivalent</w:t>
      </w:r>
      <w:r w:rsidRPr="00991A0E">
        <w:t>, of which US$89 million from IDA SUW, US$5 million from national IDA and US$10 million from Regional IDA)</w:t>
      </w:r>
      <w:bookmarkEnd w:id="5"/>
    </w:p>
    <w:p w14:paraId="52DC864E" w14:textId="77777777" w:rsidR="00991A0E" w:rsidRDefault="00991A0E" w:rsidP="00991A0E">
      <w:pPr>
        <w:autoSpaceDN w:val="0"/>
        <w:spacing w:after="0" w:line="240" w:lineRule="auto"/>
        <w:jc w:val="both"/>
        <w:rPr>
          <w:rFonts w:ascii="Times New Roman" w:hAnsi="Times New Roman" w:cs="Times New Roman"/>
          <w:sz w:val="24"/>
          <w:szCs w:val="24"/>
        </w:rPr>
      </w:pPr>
    </w:p>
    <w:p w14:paraId="72903A22" w14:textId="0F4B327C" w:rsidR="00DE1FFA" w:rsidRPr="00991A0E" w:rsidRDefault="00DE1FFA" w:rsidP="00991A0E">
      <w:pPr>
        <w:autoSpaceDN w:val="0"/>
        <w:spacing w:after="0" w:line="240" w:lineRule="auto"/>
        <w:jc w:val="both"/>
        <w:rPr>
          <w:rFonts w:ascii="Times New Roman" w:hAnsi="Times New Roman" w:cs="Times New Roman"/>
          <w:sz w:val="24"/>
          <w:szCs w:val="24"/>
        </w:rPr>
      </w:pPr>
      <w:r w:rsidRPr="00991A0E">
        <w:rPr>
          <w:rFonts w:ascii="Times New Roman" w:hAnsi="Times New Roman" w:cs="Times New Roman"/>
          <w:sz w:val="24"/>
          <w:szCs w:val="24"/>
        </w:rPr>
        <w:t xml:space="preserve">This component will invest in automating and digitizing selected government services while strengthening the legal and policy frameworks and the technical architecture needed to enable a whole-of-government transition to paperless Government. Many MCDAs have adopted individual data hosting and digital solutions which hamper the cohesiveness of digital platforms across Government. Some e-Services introduced have not been user-friendly, pointing to gaps in business process reengineering and the application of user-centric design. Lack of a secure and robust foundational integrated digital infrastructure enabling workflow and exchange of information across the public sector limits the scope of services that can be provided electronically to citizens and businesses. This component will invest in: (i) strengthening the existing e-Service delivery mechanisms of the Government to enable the introduction of additional critical e-Services in the short term, while in parallel (ii) designing and introducing foundational integrated digital infrastructure (i.e., “critical enablers,” which include interoperability; unified communication; digital identity management; customer relationship management; electronic payments; recognition and validation of electronic records; security and privacy of data; and organized, systematic, and secure access to non-confidential data) to enable full transition to e-Government over the medium term. </w:t>
      </w:r>
    </w:p>
    <w:p w14:paraId="2FEC4583" w14:textId="77777777" w:rsidR="00260DE9" w:rsidRDefault="00260DE9" w:rsidP="00991A0E">
      <w:pPr>
        <w:spacing w:after="0" w:line="240" w:lineRule="auto"/>
        <w:jc w:val="both"/>
        <w:rPr>
          <w:rFonts w:ascii="Times New Roman" w:hAnsi="Times New Roman" w:cs="Times New Roman"/>
          <w:sz w:val="24"/>
          <w:szCs w:val="24"/>
        </w:rPr>
      </w:pPr>
    </w:p>
    <w:p w14:paraId="6F61F008" w14:textId="77777777" w:rsidR="00C54451" w:rsidRPr="00C9049F" w:rsidRDefault="00C54451" w:rsidP="00991A0E">
      <w:pPr>
        <w:spacing w:after="0" w:line="240" w:lineRule="auto"/>
        <w:jc w:val="both"/>
        <w:rPr>
          <w:rFonts w:ascii="Times New Roman" w:hAnsi="Times New Roman" w:cs="Times New Roman"/>
          <w:sz w:val="24"/>
          <w:szCs w:val="24"/>
        </w:rPr>
      </w:pPr>
    </w:p>
    <w:p w14:paraId="5CC00805" w14:textId="48BAB4E6" w:rsidR="00F732A3" w:rsidRPr="00F732A3" w:rsidRDefault="00E40716" w:rsidP="00F732A3">
      <w:pPr>
        <w:pStyle w:val="Heading3"/>
      </w:pPr>
      <w:bookmarkStart w:id="6" w:name="_Toc141127681"/>
      <w:r w:rsidRPr="00C9049F">
        <w:lastRenderedPageBreak/>
        <w:t xml:space="preserve">Component </w:t>
      </w:r>
      <w:r w:rsidR="00C54451" w:rsidRPr="00C9049F">
        <w:t>3:</w:t>
      </w:r>
      <w:r w:rsidR="00C54451" w:rsidRPr="00F732A3">
        <w:rPr>
          <w:rFonts w:cstheme="minorHAnsi"/>
          <w:szCs w:val="22"/>
        </w:rPr>
        <w:t xml:space="preserve"> Digital</w:t>
      </w:r>
      <w:r w:rsidR="00F732A3" w:rsidRPr="00F732A3">
        <w:rPr>
          <w:rFonts w:cstheme="minorHAnsi"/>
          <w:szCs w:val="22"/>
        </w:rPr>
        <w:t xml:space="preserve"> Skills and Markets (</w:t>
      </w:r>
      <w:r w:rsidR="00F732A3" w:rsidRPr="00F732A3">
        <w:t>US$51 million</w:t>
      </w:r>
      <w:r w:rsidR="00F732A3" w:rsidRPr="00F732A3">
        <w:rPr>
          <w:rFonts w:cstheme="minorHAnsi"/>
          <w:bCs/>
          <w:szCs w:val="22"/>
        </w:rPr>
        <w:t xml:space="preserve"> equivalent</w:t>
      </w:r>
      <w:r w:rsidR="00F732A3" w:rsidRPr="00F732A3">
        <w:t>, of which US$36 million from IDA SUW, and US$10 million from regional IDA and US$5 million from national IDA)</w:t>
      </w:r>
      <w:bookmarkEnd w:id="6"/>
      <w:r w:rsidR="00F732A3" w:rsidRPr="00F732A3">
        <w:rPr>
          <w:rFonts w:cstheme="minorHAnsi"/>
          <w:szCs w:val="22"/>
        </w:rPr>
        <w:t xml:space="preserve"> </w:t>
      </w:r>
    </w:p>
    <w:p w14:paraId="4E009C8E" w14:textId="77777777" w:rsidR="00F732A3" w:rsidRPr="00F732A3" w:rsidRDefault="00F732A3" w:rsidP="00F732A3">
      <w:pPr>
        <w:pStyle w:val="ListParagraph"/>
        <w:spacing w:after="0" w:line="240" w:lineRule="auto"/>
        <w:ind w:left="360"/>
        <w:rPr>
          <w:rFonts w:ascii="Times New Roman" w:hAnsi="Times New Roman" w:cs="Times New Roman"/>
          <w:sz w:val="24"/>
          <w:szCs w:val="24"/>
        </w:rPr>
      </w:pPr>
    </w:p>
    <w:p w14:paraId="0882CD47" w14:textId="77777777" w:rsidR="00F732A3" w:rsidRPr="00F732A3" w:rsidRDefault="00F732A3" w:rsidP="00F732A3">
      <w:pPr>
        <w:spacing w:after="0" w:line="240" w:lineRule="auto"/>
        <w:jc w:val="both"/>
        <w:rPr>
          <w:rFonts w:ascii="Times New Roman" w:hAnsi="Times New Roman" w:cs="Times New Roman"/>
          <w:sz w:val="24"/>
          <w:szCs w:val="24"/>
        </w:rPr>
      </w:pPr>
      <w:r w:rsidRPr="00F732A3">
        <w:rPr>
          <w:rFonts w:ascii="Times New Roman" w:hAnsi="Times New Roman" w:cs="Times New Roman"/>
          <w:sz w:val="24"/>
          <w:szCs w:val="24"/>
        </w:rPr>
        <w:t>This component aims to equip young Kenyans with digital skills and strengthen their abilities to access and compete in domestic and regional markets through supporting skills development, to study mechanisms to improve access to affordable devices and through enhancing the enabling environment for e-commerce to support Kenya’s role as a regional digital hub.  This component will complement interventions to connect educational institutions under component 1 by supporting wider access to digital skills development, including strengthening basic digital literacy through the formal education system, entry-level digital skills through the tertiary education system as well as advanced digital skills certification programs for professionals. The activities to develop digital skills will be paired with an assessment study and financing towards a proposed scheme to make digital devices more affordable for targeted groups. The component will also finance complementary TA, legal advisory and capacity building to enhance the enabling environment for e-commerce and cross-border digital services so that Kenyan entrepreneurs can more easily access regional and global markets.</w:t>
      </w:r>
    </w:p>
    <w:p w14:paraId="5A41F252" w14:textId="1E8D3BA2" w:rsidR="007E779B" w:rsidRPr="00C9250F" w:rsidRDefault="007E779B" w:rsidP="00074FFF">
      <w:pPr>
        <w:spacing w:after="0" w:line="240" w:lineRule="auto"/>
        <w:jc w:val="both"/>
        <w:rPr>
          <w:rFonts w:ascii="Times New Roman" w:hAnsi="Times New Roman" w:cs="Times New Roman"/>
          <w:sz w:val="24"/>
          <w:szCs w:val="24"/>
          <w:highlight w:val="white"/>
        </w:rPr>
      </w:pPr>
    </w:p>
    <w:p w14:paraId="0E94C6FF" w14:textId="77777777" w:rsidR="00705E30" w:rsidRPr="00C9250F" w:rsidRDefault="00705E30" w:rsidP="00074FFF">
      <w:pPr>
        <w:pStyle w:val="Heading3"/>
        <w:rPr>
          <w:highlight w:val="white"/>
        </w:rPr>
      </w:pPr>
      <w:bookmarkStart w:id="7" w:name="_Toc141127682"/>
      <w:r w:rsidRPr="00C9250F">
        <w:rPr>
          <w:highlight w:val="white"/>
        </w:rPr>
        <w:t>Component 4: Project Management (US$10 million)</w:t>
      </w:r>
      <w:bookmarkEnd w:id="7"/>
    </w:p>
    <w:p w14:paraId="4DC9E9DB" w14:textId="77777777" w:rsidR="00074FFF" w:rsidRPr="00C9250F" w:rsidRDefault="00074FFF" w:rsidP="00074FFF">
      <w:pPr>
        <w:spacing w:after="0" w:line="240" w:lineRule="auto"/>
        <w:jc w:val="both"/>
        <w:rPr>
          <w:rFonts w:ascii="Times New Roman" w:hAnsi="Times New Roman" w:cs="Times New Roman"/>
          <w:sz w:val="24"/>
          <w:szCs w:val="24"/>
        </w:rPr>
      </w:pPr>
    </w:p>
    <w:p w14:paraId="7CA2E60C" w14:textId="3B6C88D3" w:rsidR="00705E30" w:rsidRPr="00C9250F" w:rsidRDefault="00705E30" w:rsidP="00074FFF">
      <w:pPr>
        <w:spacing w:after="0" w:line="240" w:lineRule="auto"/>
        <w:jc w:val="both"/>
        <w:rPr>
          <w:rFonts w:ascii="Times New Roman" w:hAnsi="Times New Roman" w:cs="Times New Roman"/>
          <w:i/>
          <w:sz w:val="24"/>
          <w:szCs w:val="24"/>
        </w:rPr>
      </w:pPr>
      <w:r w:rsidRPr="00C9250F">
        <w:rPr>
          <w:rFonts w:ascii="Times New Roman" w:hAnsi="Times New Roman" w:cs="Times New Roman"/>
          <w:sz w:val="24"/>
          <w:szCs w:val="24"/>
        </w:rPr>
        <w:t xml:space="preserve">This component will support project implementation, coordination and capacity building for the PIU within ICTA.  It will include support for dedicated project managers and technical specialists, procurement and financial management specialists, environmental and social safeguards and communications specialists.  It will also provide support for office equipment, incremental operating costs, and audits. If necessary, this component will also fund TA to support M&amp;E. Relevant MDAs will also receive training on measures to be taken during emergencies such as on emergency response procedures at times of heath or climate emergencies, to ensure continuity of operations and minimize disruptions. </w:t>
      </w:r>
    </w:p>
    <w:p w14:paraId="10606129" w14:textId="77777777" w:rsidR="00705E30" w:rsidRPr="00C9250F" w:rsidRDefault="00705E30" w:rsidP="00074FFF">
      <w:pPr>
        <w:spacing w:after="0" w:line="240" w:lineRule="auto"/>
        <w:jc w:val="both"/>
        <w:rPr>
          <w:rFonts w:ascii="Times New Roman" w:hAnsi="Times New Roman" w:cs="Times New Roman"/>
          <w:b/>
          <w:bCs/>
          <w:sz w:val="24"/>
          <w:szCs w:val="24"/>
        </w:rPr>
      </w:pPr>
    </w:p>
    <w:p w14:paraId="5C7C0CAD" w14:textId="77777777" w:rsidR="00705E30" w:rsidRPr="00C9250F" w:rsidRDefault="00705E30" w:rsidP="00074FFF">
      <w:pPr>
        <w:pStyle w:val="Heading3"/>
        <w:rPr>
          <w:highlight w:val="white"/>
        </w:rPr>
      </w:pPr>
      <w:bookmarkStart w:id="8" w:name="_Toc141127683"/>
      <w:r w:rsidRPr="00C9250F">
        <w:rPr>
          <w:highlight w:val="white"/>
        </w:rPr>
        <w:t>Component 5: Contingent Emergency Response Component (CERC) (US$0)</w:t>
      </w:r>
      <w:bookmarkEnd w:id="8"/>
    </w:p>
    <w:p w14:paraId="494E1554" w14:textId="77777777" w:rsidR="00074FFF" w:rsidRPr="00C9250F" w:rsidRDefault="00074FFF" w:rsidP="00074FFF">
      <w:pPr>
        <w:spacing w:after="0" w:line="240" w:lineRule="auto"/>
        <w:jc w:val="both"/>
        <w:rPr>
          <w:rFonts w:ascii="Times New Roman" w:hAnsi="Times New Roman" w:cs="Times New Roman"/>
          <w:sz w:val="24"/>
          <w:szCs w:val="24"/>
        </w:rPr>
      </w:pPr>
    </w:p>
    <w:p w14:paraId="61866F06" w14:textId="796CB182" w:rsidR="004208F7" w:rsidRDefault="00705E30" w:rsidP="004208F7">
      <w:pPr>
        <w:spacing w:after="0" w:line="240" w:lineRule="auto"/>
        <w:jc w:val="both"/>
      </w:pPr>
      <w:r w:rsidRPr="00C9250F">
        <w:rPr>
          <w:rFonts w:ascii="Times New Roman" w:hAnsi="Times New Roman" w:cs="Times New Roman"/>
          <w:sz w:val="24"/>
          <w:szCs w:val="24"/>
        </w:rPr>
        <w:t xml:space="preserve">A CERC is added to the project structure. This will have an initial zero value but may be financed </w:t>
      </w:r>
      <w:r w:rsidR="00074FFF" w:rsidRPr="00C9250F">
        <w:rPr>
          <w:rFonts w:ascii="Times New Roman" w:hAnsi="Times New Roman" w:cs="Times New Roman"/>
          <w:sz w:val="24"/>
          <w:szCs w:val="24"/>
        </w:rPr>
        <w:t>during</w:t>
      </w:r>
      <w:r w:rsidRPr="00C9250F">
        <w:rPr>
          <w:rFonts w:ascii="Times New Roman" w:hAnsi="Times New Roman" w:cs="Times New Roman"/>
          <w:sz w:val="24"/>
          <w:szCs w:val="24"/>
        </w:rPr>
        <w:t xml:space="preserve"> the project to allow for an agile response to an eligible crisis or emergency. Adding the component from the beginning, albeit with zero funding, provides for flexibility to respond to crises as they arise, and the project implementation manual (PIM) will be adapted to guide the utilization of this component including risk mitigation strategies. These could include, for instance, humanitarian crises which require the provision of emergency communications services to replace facilities that have been damaged, or to facilitate emergency humanitarian payments using mobile money. </w:t>
      </w:r>
    </w:p>
    <w:p w14:paraId="00656949" w14:textId="4F5180E4" w:rsidR="004208F7" w:rsidRDefault="004208F7" w:rsidP="00E40716">
      <w:pPr>
        <w:jc w:val="both"/>
        <w:rPr>
          <w:rFonts w:cs="Arial"/>
          <w:b/>
          <w:bCs/>
        </w:rPr>
        <w:sectPr w:rsidR="004208F7" w:rsidSect="0000255F">
          <w:pgSz w:w="11900" w:h="16840" w:code="9"/>
          <w:pgMar w:top="1440" w:right="1440" w:bottom="1440" w:left="1440" w:header="720" w:footer="720" w:gutter="0"/>
          <w:cols w:space="720"/>
          <w:docGrid w:linePitch="360"/>
        </w:sectPr>
      </w:pPr>
    </w:p>
    <w:p w14:paraId="4D84C2DA" w14:textId="6AC47F0B" w:rsidR="00E40716" w:rsidRPr="0000255F" w:rsidRDefault="0000255F" w:rsidP="005E69AC">
      <w:pPr>
        <w:pStyle w:val="Heading1"/>
      </w:pPr>
      <w:bookmarkStart w:id="9" w:name="_Toc141127684"/>
      <w:r w:rsidRPr="0000255F">
        <w:lastRenderedPageBreak/>
        <w:t>KENYA COUNTRY CONTEXT</w:t>
      </w:r>
      <w:bookmarkEnd w:id="9"/>
    </w:p>
    <w:p w14:paraId="0914DA41" w14:textId="77777777" w:rsidR="0000255F" w:rsidRPr="0000255F" w:rsidRDefault="0000255F" w:rsidP="0000255F">
      <w:pPr>
        <w:spacing w:after="0" w:line="240" w:lineRule="auto"/>
        <w:rPr>
          <w:rFonts w:ascii="Times New Roman" w:hAnsi="Times New Roman" w:cs="Times New Roman"/>
          <w:sz w:val="24"/>
          <w:szCs w:val="24"/>
        </w:rPr>
      </w:pPr>
    </w:p>
    <w:p w14:paraId="7933FAE9" w14:textId="000597C7" w:rsidR="00E40716" w:rsidRPr="0000255F" w:rsidRDefault="00E40716" w:rsidP="0000255F">
      <w:pPr>
        <w:pStyle w:val="Heading2"/>
        <w:ind w:left="900" w:hanging="900"/>
      </w:pPr>
      <w:bookmarkStart w:id="10" w:name="_Toc141127685"/>
      <w:r w:rsidRPr="0000255F">
        <w:t>Kenya Gender Based Violence Prevalence Rates</w:t>
      </w:r>
      <w:bookmarkEnd w:id="10"/>
    </w:p>
    <w:p w14:paraId="719C6E8E" w14:textId="77777777" w:rsidR="0000255F" w:rsidRPr="0000255F" w:rsidRDefault="0000255F" w:rsidP="0000255F">
      <w:pPr>
        <w:spacing w:after="0" w:line="240" w:lineRule="auto"/>
        <w:rPr>
          <w:rFonts w:ascii="Times New Roman" w:hAnsi="Times New Roman" w:cs="Times New Roman"/>
          <w:sz w:val="24"/>
          <w:szCs w:val="24"/>
        </w:rPr>
      </w:pPr>
    </w:p>
    <w:p w14:paraId="5A2DC370" w14:textId="621206B6"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The 2014 Kenya Demographic and Health Survey indicated that about one in four women reported physical or sexual violence from a partner in the 12 months before the survey. Overall, about 41</w:t>
      </w:r>
      <w:r w:rsidR="009D36C0">
        <w:rPr>
          <w:rFonts w:ascii="Times New Roman" w:hAnsi="Times New Roman" w:cs="Times New Roman"/>
          <w:sz w:val="24"/>
          <w:szCs w:val="24"/>
        </w:rPr>
        <w:t xml:space="preserve"> per cent</w:t>
      </w:r>
      <w:r w:rsidRPr="0000255F">
        <w:rPr>
          <w:rFonts w:ascii="Times New Roman" w:hAnsi="Times New Roman" w:cs="Times New Roman"/>
          <w:sz w:val="24"/>
          <w:szCs w:val="24"/>
        </w:rPr>
        <w:t xml:space="preserve"> of women reported having experienced physical or sexual violence from their husbands or partners in their lifetime. About two-fifths of those women reported physical injuries from the violence.</w:t>
      </w:r>
      <w:r w:rsidRPr="0000255F">
        <w:rPr>
          <w:rFonts w:ascii="Times New Roman" w:hAnsi="Times New Roman" w:cs="Times New Roman"/>
          <w:sz w:val="24"/>
          <w:szCs w:val="24"/>
          <w:vertAlign w:val="superscript"/>
        </w:rPr>
        <w:footnoteReference w:id="2"/>
      </w:r>
    </w:p>
    <w:p w14:paraId="0270C663" w14:textId="77777777" w:rsidR="0000255F" w:rsidRPr="0000255F" w:rsidRDefault="0000255F" w:rsidP="0000255F">
      <w:pPr>
        <w:spacing w:after="0" w:line="240" w:lineRule="auto"/>
        <w:jc w:val="both"/>
        <w:rPr>
          <w:rFonts w:ascii="Times New Roman" w:hAnsi="Times New Roman" w:cs="Times New Roman"/>
          <w:sz w:val="24"/>
          <w:szCs w:val="24"/>
        </w:rPr>
      </w:pPr>
    </w:p>
    <w:p w14:paraId="28AF9733" w14:textId="21CDE0BD"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A similar proportion of men </w:t>
      </w:r>
      <w:r w:rsidR="00840AAE" w:rsidRPr="0000255F">
        <w:rPr>
          <w:rFonts w:ascii="Times New Roman" w:hAnsi="Times New Roman" w:cs="Times New Roman"/>
          <w:sz w:val="24"/>
          <w:szCs w:val="24"/>
        </w:rPr>
        <w:t>aged</w:t>
      </w:r>
      <w:r w:rsidRPr="0000255F">
        <w:rPr>
          <w:rFonts w:ascii="Times New Roman" w:hAnsi="Times New Roman" w:cs="Times New Roman"/>
          <w:sz w:val="24"/>
          <w:szCs w:val="24"/>
        </w:rPr>
        <w:t xml:space="preserve"> 15-49 (44</w:t>
      </w:r>
      <w:r w:rsidR="009D36C0">
        <w:rPr>
          <w:rFonts w:ascii="Times New Roman" w:hAnsi="Times New Roman" w:cs="Times New Roman"/>
          <w:sz w:val="24"/>
          <w:szCs w:val="24"/>
        </w:rPr>
        <w:t xml:space="preserve"> per cent</w:t>
      </w:r>
      <w:r w:rsidRPr="0000255F">
        <w:rPr>
          <w:rFonts w:ascii="Times New Roman" w:hAnsi="Times New Roman" w:cs="Times New Roman"/>
          <w:sz w:val="24"/>
          <w:szCs w:val="24"/>
        </w:rPr>
        <w:t>) report that they have experienced violence since age 15, but fewer (12</w:t>
      </w:r>
      <w:r w:rsidR="009D36C0">
        <w:rPr>
          <w:rFonts w:ascii="Times New Roman" w:hAnsi="Times New Roman" w:cs="Times New Roman"/>
          <w:sz w:val="24"/>
          <w:szCs w:val="24"/>
        </w:rPr>
        <w:t>per cent</w:t>
      </w:r>
      <w:r w:rsidRPr="0000255F">
        <w:rPr>
          <w:rFonts w:ascii="Times New Roman" w:hAnsi="Times New Roman" w:cs="Times New Roman"/>
          <w:sz w:val="24"/>
          <w:szCs w:val="24"/>
        </w:rPr>
        <w:t xml:space="preserve">) have experienced it in their adult life. Men rarely report that wives or partners are the perpetrators of the violence. </w:t>
      </w:r>
    </w:p>
    <w:p w14:paraId="6FC98BC2" w14:textId="77777777" w:rsidR="0000255F" w:rsidRPr="0000255F" w:rsidRDefault="0000255F" w:rsidP="0000255F">
      <w:pPr>
        <w:spacing w:after="0" w:line="240" w:lineRule="auto"/>
        <w:jc w:val="both"/>
        <w:rPr>
          <w:rFonts w:ascii="Times New Roman" w:hAnsi="Times New Roman" w:cs="Times New Roman"/>
          <w:sz w:val="24"/>
          <w:szCs w:val="24"/>
        </w:rPr>
      </w:pPr>
    </w:p>
    <w:p w14:paraId="73484E80" w14:textId="6A23E459"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Sexual violence in Kenya can begin from a young age. US-AID notes in the 2008 Kenya Demographic and Health survey that 12</w:t>
      </w:r>
      <w:r w:rsidR="009D36C0">
        <w:rPr>
          <w:rFonts w:ascii="Times New Roman" w:hAnsi="Times New Roman" w:cs="Times New Roman"/>
          <w:sz w:val="24"/>
          <w:szCs w:val="24"/>
        </w:rPr>
        <w:t>per cent</w:t>
      </w:r>
      <w:r w:rsidRPr="0000255F">
        <w:rPr>
          <w:rFonts w:ascii="Times New Roman" w:hAnsi="Times New Roman" w:cs="Times New Roman"/>
          <w:sz w:val="24"/>
          <w:szCs w:val="24"/>
        </w:rPr>
        <w:t xml:space="preserve"> of women aged 15-49 state that their first sexual encounter was forced. Furthermore, UN-Habit stated that out of </w:t>
      </w:r>
      <w:r w:rsidR="00F60A76" w:rsidRPr="0000255F">
        <w:rPr>
          <w:rFonts w:ascii="Times New Roman" w:hAnsi="Times New Roman" w:cs="Times New Roman"/>
          <w:sz w:val="24"/>
          <w:szCs w:val="24"/>
        </w:rPr>
        <w:t>sixty-six</w:t>
      </w:r>
      <w:r w:rsidRPr="0000255F">
        <w:rPr>
          <w:rFonts w:ascii="Times New Roman" w:hAnsi="Times New Roman" w:cs="Times New Roman"/>
          <w:sz w:val="24"/>
          <w:szCs w:val="24"/>
        </w:rPr>
        <w:t xml:space="preserve"> women they interviewed who had admitted to having been sexually abused eleven women reported that they had been abused as children. Overall, two thirds of these women were abused by somebody they knew: 36</w:t>
      </w:r>
      <w:r w:rsidR="009D36C0">
        <w:rPr>
          <w:rFonts w:ascii="Times New Roman" w:hAnsi="Times New Roman" w:cs="Times New Roman"/>
          <w:sz w:val="24"/>
          <w:szCs w:val="24"/>
        </w:rPr>
        <w:t>per cent</w:t>
      </w:r>
      <w:r w:rsidRPr="0000255F">
        <w:rPr>
          <w:rFonts w:ascii="Times New Roman" w:hAnsi="Times New Roman" w:cs="Times New Roman"/>
          <w:sz w:val="24"/>
          <w:szCs w:val="24"/>
        </w:rPr>
        <w:t xml:space="preserve"> by a family member and 27</w:t>
      </w:r>
      <w:r w:rsidR="009D36C0">
        <w:rPr>
          <w:rFonts w:ascii="Times New Roman" w:hAnsi="Times New Roman" w:cs="Times New Roman"/>
          <w:sz w:val="24"/>
          <w:szCs w:val="24"/>
        </w:rPr>
        <w:t>per cent</w:t>
      </w:r>
      <w:r w:rsidRPr="0000255F">
        <w:rPr>
          <w:rFonts w:ascii="Times New Roman" w:hAnsi="Times New Roman" w:cs="Times New Roman"/>
          <w:sz w:val="24"/>
          <w:szCs w:val="24"/>
        </w:rPr>
        <w:t xml:space="preserve"> by a neighbor. It was noted that women who experience sexual abuse as children are more likely to suffer from all forms of abuse when they reach adulthood.</w:t>
      </w:r>
    </w:p>
    <w:p w14:paraId="7D7177F5" w14:textId="77777777" w:rsidR="0000255F" w:rsidRPr="0000255F" w:rsidRDefault="0000255F" w:rsidP="0000255F">
      <w:pPr>
        <w:spacing w:after="0" w:line="240" w:lineRule="auto"/>
        <w:jc w:val="both"/>
        <w:rPr>
          <w:rFonts w:ascii="Times New Roman" w:hAnsi="Times New Roman" w:cs="Times New Roman"/>
          <w:sz w:val="24"/>
          <w:szCs w:val="24"/>
        </w:rPr>
      </w:pPr>
    </w:p>
    <w:p w14:paraId="37F86F93" w14:textId="4E73206F" w:rsidR="00E40716" w:rsidRPr="0000255F" w:rsidRDefault="00E40716" w:rsidP="0000255F">
      <w:pPr>
        <w:pStyle w:val="Heading2"/>
        <w:ind w:left="900" w:hanging="900"/>
      </w:pPr>
      <w:bookmarkStart w:id="11" w:name="_Toc141127686"/>
      <w:r w:rsidRPr="0000255F">
        <w:t xml:space="preserve">Legal Framework for </w:t>
      </w:r>
      <w:r w:rsidR="00B676FA">
        <w:t>GBV (SEA/SH)</w:t>
      </w:r>
      <w:r w:rsidRPr="0000255F">
        <w:t xml:space="preserve"> in Kenya</w:t>
      </w:r>
      <w:bookmarkEnd w:id="11"/>
    </w:p>
    <w:p w14:paraId="69764A9E" w14:textId="77777777" w:rsidR="0000255F" w:rsidRDefault="0000255F" w:rsidP="0000255F">
      <w:pPr>
        <w:spacing w:after="0" w:line="240" w:lineRule="auto"/>
        <w:jc w:val="both"/>
        <w:rPr>
          <w:rFonts w:ascii="Times New Roman" w:hAnsi="Times New Roman" w:cs="Times New Roman"/>
          <w:sz w:val="24"/>
          <w:szCs w:val="24"/>
        </w:rPr>
      </w:pPr>
    </w:p>
    <w:p w14:paraId="50DD239B" w14:textId="00694478"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Constitution of Kenya creates a platform for gender equality and non-discrimination. Article 10 of the Constitution is on the National Values and Principles of governance. It highlights such principles as equality, equity, </w:t>
      </w:r>
      <w:r w:rsidR="001F7B0B" w:rsidRPr="0000255F">
        <w:rPr>
          <w:rFonts w:ascii="Times New Roman" w:hAnsi="Times New Roman" w:cs="Times New Roman"/>
          <w:sz w:val="24"/>
          <w:szCs w:val="24"/>
        </w:rPr>
        <w:t>inclusiveness,</w:t>
      </w:r>
      <w:r w:rsidRPr="0000255F">
        <w:rPr>
          <w:rFonts w:ascii="Times New Roman" w:hAnsi="Times New Roman" w:cs="Times New Roman"/>
          <w:sz w:val="24"/>
          <w:szCs w:val="24"/>
        </w:rPr>
        <w:t xml:space="preserve"> and non-discrimination. These principles provide an anchorage for gender equality. Further, Article 27 (1) provides that every person is equal before the law and has the right to equal protection and benefit; Article 27 (3) provides that women and men have the right to equal treatment including the right to equal opportunities in political, social, </w:t>
      </w:r>
      <w:r w:rsidR="001F7B0B" w:rsidRPr="0000255F">
        <w:rPr>
          <w:rFonts w:ascii="Times New Roman" w:hAnsi="Times New Roman" w:cs="Times New Roman"/>
          <w:sz w:val="24"/>
          <w:szCs w:val="24"/>
        </w:rPr>
        <w:t>economic,</w:t>
      </w:r>
      <w:r w:rsidRPr="0000255F">
        <w:rPr>
          <w:rFonts w:ascii="Times New Roman" w:hAnsi="Times New Roman" w:cs="Times New Roman"/>
          <w:sz w:val="24"/>
          <w:szCs w:val="24"/>
        </w:rPr>
        <w:t xml:space="preserve"> and cultural spheres. The Constitution also </w:t>
      </w:r>
      <w:r w:rsidR="009D36C0" w:rsidRPr="0000255F">
        <w:rPr>
          <w:rFonts w:ascii="Times New Roman" w:hAnsi="Times New Roman" w:cs="Times New Roman"/>
          <w:sz w:val="24"/>
          <w:szCs w:val="24"/>
        </w:rPr>
        <w:t>outlaw’s</w:t>
      </w:r>
      <w:r w:rsidRPr="0000255F">
        <w:rPr>
          <w:rFonts w:ascii="Times New Roman" w:hAnsi="Times New Roman" w:cs="Times New Roman"/>
          <w:sz w:val="24"/>
          <w:szCs w:val="24"/>
        </w:rPr>
        <w:t xml:space="preserve"> discrimination on any basis including, pregnancy, race, sex, marital status, health, ethnicity or social origin, </w:t>
      </w:r>
      <w:proofErr w:type="spellStart"/>
      <w:r w:rsidRPr="0000255F">
        <w:rPr>
          <w:rFonts w:ascii="Times New Roman" w:hAnsi="Times New Roman" w:cs="Times New Roman"/>
          <w:sz w:val="24"/>
          <w:szCs w:val="24"/>
        </w:rPr>
        <w:t>colour</w:t>
      </w:r>
      <w:proofErr w:type="spellEnd"/>
      <w:r w:rsidRPr="0000255F">
        <w:rPr>
          <w:rFonts w:ascii="Times New Roman" w:hAnsi="Times New Roman" w:cs="Times New Roman"/>
          <w:sz w:val="24"/>
          <w:szCs w:val="24"/>
        </w:rPr>
        <w:t>, age, disability, religion, conscience, belief, culture, dress, language or birth in Article 27 (4). To realize these ideals, the Constitution in Article 27 (6) requires the government to take legislative and other measures including affirmative action to redress disadvantages suffered by individuals and groups because of past discrimination. Article 27 (8) requires that not more than two thirds of the members of elective or appointive bodies are of the same gender.</w:t>
      </w:r>
    </w:p>
    <w:p w14:paraId="3DB02645" w14:textId="77777777" w:rsidR="0000255F" w:rsidRPr="0000255F" w:rsidRDefault="0000255F" w:rsidP="0000255F">
      <w:pPr>
        <w:spacing w:after="0" w:line="240" w:lineRule="auto"/>
        <w:jc w:val="both"/>
        <w:rPr>
          <w:rFonts w:ascii="Times New Roman" w:hAnsi="Times New Roman" w:cs="Times New Roman"/>
          <w:sz w:val="24"/>
          <w:szCs w:val="24"/>
        </w:rPr>
      </w:pPr>
    </w:p>
    <w:p w14:paraId="4EABDCE8" w14:textId="304B3257"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Figure 1 below presents the legislation, policies and standards Kenya has made significant progress with regards to the development of standards and guidance around addressing </w:t>
      </w:r>
      <w:r w:rsidR="00B676FA">
        <w:rPr>
          <w:rFonts w:ascii="Times New Roman" w:hAnsi="Times New Roman" w:cs="Times New Roman"/>
          <w:sz w:val="24"/>
          <w:szCs w:val="24"/>
        </w:rPr>
        <w:t>GBV (SEA/SH)</w:t>
      </w:r>
      <w:r w:rsidRPr="0000255F">
        <w:rPr>
          <w:rFonts w:ascii="Times New Roman" w:hAnsi="Times New Roman" w:cs="Times New Roman"/>
          <w:sz w:val="24"/>
          <w:szCs w:val="24"/>
        </w:rPr>
        <w:t xml:space="preserve"> and providing support to its survivors. Government of Kenya (GoK) has developed several laws which are relevant to addressing </w:t>
      </w:r>
      <w:r w:rsidR="00B676FA">
        <w:rPr>
          <w:rFonts w:ascii="Times New Roman" w:hAnsi="Times New Roman" w:cs="Times New Roman"/>
          <w:sz w:val="24"/>
          <w:szCs w:val="24"/>
        </w:rPr>
        <w:t>GBV (SEA/SH)</w:t>
      </w:r>
      <w:r w:rsidRPr="0000255F">
        <w:rPr>
          <w:rFonts w:ascii="Times New Roman" w:hAnsi="Times New Roman" w:cs="Times New Roman"/>
          <w:sz w:val="24"/>
          <w:szCs w:val="24"/>
        </w:rPr>
        <w:t xml:space="preserve">, including expanding the criminalization of abuse, and an explicit statutory duty by the police and identified government departments to ensure that survivors are provided with medical services and protection. </w:t>
      </w:r>
    </w:p>
    <w:p w14:paraId="3893A1E7" w14:textId="77777777" w:rsidR="0000255F" w:rsidRPr="0000255F" w:rsidRDefault="0000255F" w:rsidP="0000255F">
      <w:pPr>
        <w:spacing w:after="0" w:line="240" w:lineRule="auto"/>
        <w:jc w:val="both"/>
        <w:rPr>
          <w:rFonts w:ascii="Times New Roman" w:hAnsi="Times New Roman" w:cs="Times New Roman"/>
          <w:sz w:val="24"/>
          <w:szCs w:val="24"/>
        </w:rPr>
      </w:pPr>
    </w:p>
    <w:p w14:paraId="324683D4" w14:textId="04A508B3"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lastRenderedPageBreak/>
        <w:t xml:space="preserve">At the national policy level, a number of standards have been developed, such as the National Policy for Prevention and Response to Gender Based Violence (2014) which outlines a strategy to facilitate a multi-sectoral approach to addressing </w:t>
      </w:r>
      <w:r w:rsidR="00B676FA">
        <w:rPr>
          <w:rFonts w:ascii="Times New Roman" w:hAnsi="Times New Roman" w:cs="Times New Roman"/>
          <w:sz w:val="24"/>
          <w:szCs w:val="24"/>
        </w:rPr>
        <w:t>GBV (SEA/SH)</w:t>
      </w:r>
      <w:r w:rsidRPr="0000255F">
        <w:rPr>
          <w:rFonts w:ascii="Times New Roman" w:hAnsi="Times New Roman" w:cs="Times New Roman"/>
          <w:sz w:val="24"/>
          <w:szCs w:val="24"/>
        </w:rPr>
        <w:t xml:space="preserve"> through prevention and response interventions; the National Guidelines on the Management of Sexual Violence (2014), which details the management of sexual violence and outlines the steps for the treatment of sexual violence survivors, including the preservation of evidence and issues of psycho-social support; and the National Monitoring and Evaluation Framework towards the Prevention of and Response to Sexual and Gender Based Violence in Kenya (2016) which sets out indicators for monitoring and evaluation of the different sectors supposed to prevent and respond to sexual violence. </w:t>
      </w:r>
    </w:p>
    <w:p w14:paraId="00224C18" w14:textId="77777777" w:rsidR="0000255F" w:rsidRPr="0000255F" w:rsidRDefault="0000255F" w:rsidP="0000255F">
      <w:pPr>
        <w:spacing w:after="0" w:line="240" w:lineRule="auto"/>
        <w:jc w:val="both"/>
        <w:rPr>
          <w:rFonts w:ascii="Times New Roman" w:hAnsi="Times New Roman" w:cs="Times New Roman"/>
          <w:sz w:val="24"/>
          <w:szCs w:val="24"/>
        </w:rPr>
      </w:pPr>
    </w:p>
    <w:p w14:paraId="563C23CC" w14:textId="493D2F28"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Various standards have been developed at the national sectoral level, such as the National Health Sector Standard Operating Procedures on Management of Sexual Violence in Kenya 2014 which outlines the minimum procedures for the management of </w:t>
      </w:r>
      <w:r w:rsidR="00B676FA">
        <w:rPr>
          <w:rFonts w:ascii="Times New Roman" w:hAnsi="Times New Roman" w:cs="Times New Roman"/>
          <w:sz w:val="24"/>
          <w:szCs w:val="24"/>
        </w:rPr>
        <w:t>GBV (SEA/SH)</w:t>
      </w:r>
      <w:r w:rsidRPr="0000255F">
        <w:rPr>
          <w:rFonts w:ascii="Times New Roman" w:hAnsi="Times New Roman" w:cs="Times New Roman"/>
          <w:sz w:val="24"/>
          <w:szCs w:val="24"/>
        </w:rPr>
        <w:t xml:space="preserve"> in the health sector and related referral mechanisms for psychosocial, legal, and other social support services; however, the roll-out of standards and procedures articulated at the national level remains limited at the county level. </w:t>
      </w:r>
    </w:p>
    <w:p w14:paraId="7BF59BF9" w14:textId="77777777" w:rsidR="0000255F" w:rsidRPr="0000255F" w:rsidRDefault="0000255F" w:rsidP="0000255F">
      <w:pPr>
        <w:spacing w:after="0" w:line="240" w:lineRule="auto"/>
        <w:jc w:val="both"/>
        <w:rPr>
          <w:rFonts w:ascii="Times New Roman" w:hAnsi="Times New Roman" w:cs="Times New Roman"/>
          <w:sz w:val="24"/>
          <w:szCs w:val="24"/>
        </w:rPr>
      </w:pPr>
    </w:p>
    <w:p w14:paraId="5C362366" w14:textId="7D610EEB"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A recently established County Government Policy on Sexual and Gender Based Violence, 2017 and its accompanying Model Legislative Framework on Sexual and Gender Based Violence for County Governments launched in November 2017, provide a framework to support the implementation of laws, policies and, </w:t>
      </w:r>
      <w:proofErr w:type="spellStart"/>
      <w:r w:rsidRPr="0000255F">
        <w:rPr>
          <w:rFonts w:ascii="Times New Roman" w:hAnsi="Times New Roman" w:cs="Times New Roman"/>
          <w:sz w:val="24"/>
          <w:szCs w:val="24"/>
        </w:rPr>
        <w:t>programmes</w:t>
      </w:r>
      <w:proofErr w:type="spellEnd"/>
      <w:r w:rsidRPr="0000255F">
        <w:rPr>
          <w:rFonts w:ascii="Times New Roman" w:hAnsi="Times New Roman" w:cs="Times New Roman"/>
          <w:sz w:val="24"/>
          <w:szCs w:val="24"/>
        </w:rPr>
        <w:t xml:space="preserve"> for prevention and response to S</w:t>
      </w:r>
      <w:r w:rsidR="00B676FA">
        <w:rPr>
          <w:rFonts w:ascii="Times New Roman" w:hAnsi="Times New Roman" w:cs="Times New Roman"/>
          <w:sz w:val="24"/>
          <w:szCs w:val="24"/>
        </w:rPr>
        <w:t>GBV (SEA/SH)</w:t>
      </w:r>
      <w:r w:rsidRPr="0000255F">
        <w:rPr>
          <w:rFonts w:ascii="Times New Roman" w:hAnsi="Times New Roman" w:cs="Times New Roman"/>
          <w:sz w:val="24"/>
          <w:szCs w:val="24"/>
        </w:rPr>
        <w:t xml:space="preserve"> for county governments, and help the development of a County Sexual and Gender Based Violence Act setting out each county’s commitment. It is important to note that the policy specifically refers to the need to “ensure that the framework is actionable, well-coordinated and sufficient resources are allocated for its implementation at County level” (NGEC, 2017: 13). </w:t>
      </w:r>
    </w:p>
    <w:p w14:paraId="3F6DB555" w14:textId="77777777" w:rsidR="0000255F" w:rsidRPr="0000255F" w:rsidRDefault="0000255F" w:rsidP="0000255F">
      <w:pPr>
        <w:spacing w:after="0" w:line="240" w:lineRule="auto"/>
        <w:jc w:val="both"/>
        <w:rPr>
          <w:rFonts w:ascii="Times New Roman" w:hAnsi="Times New Roman" w:cs="Times New Roman"/>
          <w:sz w:val="24"/>
          <w:szCs w:val="24"/>
        </w:rPr>
      </w:pPr>
    </w:p>
    <w:p w14:paraId="23F8D52D" w14:textId="6ED25C96"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While loopholes and gaps remain in terms of the full comprehensive coverage of the legal framework there is an impressive and relatively progressive framework in place to hold duty bearers and the state accountable if standards are broadly not upheld. </w:t>
      </w:r>
    </w:p>
    <w:p w14:paraId="1736D71D" w14:textId="77777777" w:rsidR="0000255F" w:rsidRPr="0000255F" w:rsidRDefault="0000255F" w:rsidP="0000255F">
      <w:pPr>
        <w:spacing w:after="0" w:line="240" w:lineRule="auto"/>
        <w:jc w:val="both"/>
        <w:rPr>
          <w:rFonts w:ascii="Times New Roman" w:hAnsi="Times New Roman" w:cs="Times New Roman"/>
          <w:sz w:val="24"/>
          <w:szCs w:val="24"/>
        </w:rPr>
      </w:pPr>
    </w:p>
    <w:p w14:paraId="1C16E003" w14:textId="5199468D" w:rsidR="00E40716" w:rsidRPr="0000255F" w:rsidRDefault="00E40716" w:rsidP="0000255F">
      <w:pPr>
        <w:pStyle w:val="Heading2"/>
        <w:ind w:left="900" w:hanging="900"/>
      </w:pPr>
      <w:bookmarkStart w:id="12" w:name="_Toc141127687"/>
      <w:r w:rsidRPr="0000255F">
        <w:t>International Treaties</w:t>
      </w:r>
      <w:bookmarkEnd w:id="12"/>
      <w:r w:rsidRPr="0000255F">
        <w:t xml:space="preserve"> </w:t>
      </w:r>
    </w:p>
    <w:p w14:paraId="7963F1CE" w14:textId="77777777" w:rsidR="0000255F" w:rsidRPr="0000255F" w:rsidRDefault="0000255F" w:rsidP="0000255F">
      <w:pPr>
        <w:spacing w:after="0" w:line="240" w:lineRule="auto"/>
        <w:jc w:val="both"/>
        <w:rPr>
          <w:rFonts w:ascii="Times New Roman" w:hAnsi="Times New Roman" w:cs="Times New Roman"/>
          <w:sz w:val="24"/>
          <w:szCs w:val="24"/>
        </w:rPr>
      </w:pPr>
    </w:p>
    <w:p w14:paraId="349CA390" w14:textId="2DE72750"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Kenya has ratified and subscribes to many of them including: </w:t>
      </w:r>
    </w:p>
    <w:p w14:paraId="17DBEF3F" w14:textId="77777777" w:rsidR="0000255F" w:rsidRPr="0000255F" w:rsidRDefault="0000255F" w:rsidP="0000255F">
      <w:pPr>
        <w:spacing w:after="0" w:line="240" w:lineRule="auto"/>
        <w:jc w:val="both"/>
        <w:rPr>
          <w:rFonts w:ascii="Times New Roman" w:hAnsi="Times New Roman" w:cs="Times New Roman"/>
          <w:sz w:val="24"/>
          <w:szCs w:val="24"/>
        </w:rPr>
      </w:pPr>
    </w:p>
    <w:p w14:paraId="783BA84C" w14:textId="344159D4"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Universal </w:t>
      </w:r>
      <w:r w:rsidR="00712D6C" w:rsidRPr="0000255F">
        <w:rPr>
          <w:rFonts w:ascii="Times New Roman" w:hAnsi="Times New Roman" w:cs="Times New Roman"/>
          <w:sz w:val="24"/>
          <w:szCs w:val="24"/>
        </w:rPr>
        <w:t xml:space="preserve">Declaration </w:t>
      </w:r>
      <w:r w:rsidRPr="0000255F">
        <w:rPr>
          <w:rFonts w:ascii="Times New Roman" w:hAnsi="Times New Roman" w:cs="Times New Roman"/>
          <w:sz w:val="24"/>
          <w:szCs w:val="24"/>
        </w:rPr>
        <w:t xml:space="preserve">of Human Rights (UDHR, 1948), </w:t>
      </w:r>
    </w:p>
    <w:p w14:paraId="23B45569" w14:textId="77777777"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International Covenant on Civil and Political Rights (ICCPR, 1976), </w:t>
      </w:r>
    </w:p>
    <w:p w14:paraId="583D62E7" w14:textId="77777777"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Convention on the Elimination of all Forms of Discrimination against Women (CEDAW, 1979), </w:t>
      </w:r>
    </w:p>
    <w:p w14:paraId="460815E1" w14:textId="77777777"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Convention against Torture and Other Cruel, Inhuman or Degrading Treatment or Punishment (1984), </w:t>
      </w:r>
    </w:p>
    <w:p w14:paraId="3F3C2A09" w14:textId="77777777"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the United Nations Convention on the Rights of Child (CRC, 1989),</w:t>
      </w:r>
    </w:p>
    <w:p w14:paraId="0225782F" w14:textId="77777777"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Beijing Platform for Action (1995), </w:t>
      </w:r>
    </w:p>
    <w:p w14:paraId="72805F8A" w14:textId="711B0068"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UN Resolution 1325 (2000),</w:t>
      </w:r>
      <w:r w:rsidR="00AA53CB">
        <w:rPr>
          <w:rFonts w:ascii="Times New Roman" w:hAnsi="Times New Roman" w:cs="Times New Roman"/>
          <w:sz w:val="24"/>
          <w:szCs w:val="24"/>
        </w:rPr>
        <w:t xml:space="preserve"> </w:t>
      </w:r>
      <w:r w:rsidRPr="0000255F">
        <w:rPr>
          <w:rFonts w:ascii="Times New Roman" w:hAnsi="Times New Roman" w:cs="Times New Roman"/>
          <w:sz w:val="24"/>
          <w:szCs w:val="24"/>
        </w:rPr>
        <w:t>the UN Protocol to Prevent, Suppress and Punish Trafficking in Persons Especially Women and Children (2000), T</w:t>
      </w:r>
    </w:p>
    <w:p w14:paraId="41DE2161" w14:textId="77777777"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he ILO Convention 182 on the Worst Forms of Child Labor; and </w:t>
      </w:r>
    </w:p>
    <w:p w14:paraId="01B3548B" w14:textId="77777777" w:rsidR="00E40716" w:rsidRPr="0000255F" w:rsidRDefault="00E40716" w:rsidP="00971226">
      <w:pPr>
        <w:numPr>
          <w:ilvl w:val="0"/>
          <w:numId w:val="8"/>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Optional Protocol on the Convention of the Rights of the Child on Child Trafficking, Child Prostitution and Child Pornography. </w:t>
      </w:r>
    </w:p>
    <w:p w14:paraId="05A45269" w14:textId="77777777" w:rsidR="0000255F" w:rsidRDefault="0000255F" w:rsidP="0000255F">
      <w:pPr>
        <w:spacing w:after="0" w:line="240" w:lineRule="auto"/>
        <w:jc w:val="both"/>
        <w:rPr>
          <w:rFonts w:ascii="Times New Roman" w:hAnsi="Times New Roman" w:cs="Times New Roman"/>
          <w:sz w:val="24"/>
          <w:szCs w:val="24"/>
        </w:rPr>
      </w:pPr>
    </w:p>
    <w:p w14:paraId="1BAF0159" w14:textId="77777777" w:rsidR="0000255F" w:rsidRDefault="0000255F" w:rsidP="0000255F">
      <w:pPr>
        <w:spacing w:after="0" w:line="240" w:lineRule="auto"/>
        <w:jc w:val="both"/>
        <w:rPr>
          <w:rFonts w:ascii="Times New Roman" w:hAnsi="Times New Roman" w:cs="Times New Roman"/>
          <w:sz w:val="24"/>
          <w:szCs w:val="24"/>
        </w:rPr>
      </w:pPr>
    </w:p>
    <w:p w14:paraId="57BF04DA" w14:textId="23D36C81" w:rsidR="00E40716" w:rsidRDefault="00E40716" w:rsidP="0000255F">
      <w:p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At the regional level, the normative framework includes instruments such as: </w:t>
      </w:r>
    </w:p>
    <w:p w14:paraId="00F65B0C" w14:textId="77777777" w:rsidR="0000255F" w:rsidRPr="0000255F" w:rsidRDefault="0000255F" w:rsidP="0000255F">
      <w:pPr>
        <w:spacing w:after="0" w:line="240" w:lineRule="auto"/>
        <w:jc w:val="both"/>
        <w:rPr>
          <w:rFonts w:ascii="Times New Roman" w:hAnsi="Times New Roman" w:cs="Times New Roman"/>
          <w:sz w:val="24"/>
          <w:szCs w:val="24"/>
        </w:rPr>
      </w:pPr>
    </w:p>
    <w:p w14:paraId="562A0D6B" w14:textId="77777777" w:rsidR="00E40716" w:rsidRPr="0000255F" w:rsidRDefault="00E40716" w:rsidP="00971226">
      <w:pPr>
        <w:numPr>
          <w:ilvl w:val="0"/>
          <w:numId w:val="9"/>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Protocol to the Africa Charter on Human and Peoples’ Rights on the Rights of Women in Africa (Maputo Protocol, 2003), </w:t>
      </w:r>
    </w:p>
    <w:p w14:paraId="265193C5" w14:textId="77777777" w:rsidR="00E40716" w:rsidRPr="0000255F" w:rsidRDefault="00E40716" w:rsidP="00971226">
      <w:pPr>
        <w:numPr>
          <w:ilvl w:val="0"/>
          <w:numId w:val="9"/>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Solemn Declaration on Gender Equality in Africa (2004), </w:t>
      </w:r>
    </w:p>
    <w:p w14:paraId="229EB480" w14:textId="77777777" w:rsidR="00E40716" w:rsidRPr="0000255F" w:rsidRDefault="00E40716" w:rsidP="00971226">
      <w:pPr>
        <w:numPr>
          <w:ilvl w:val="0"/>
          <w:numId w:val="9"/>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 xml:space="preserve">the International Conference of the Great Lakes Region Protocol; and </w:t>
      </w:r>
    </w:p>
    <w:p w14:paraId="3D7F545D" w14:textId="77777777" w:rsidR="00E40716" w:rsidRPr="0000255F" w:rsidRDefault="00E40716" w:rsidP="00971226">
      <w:pPr>
        <w:numPr>
          <w:ilvl w:val="0"/>
          <w:numId w:val="9"/>
        </w:numPr>
        <w:spacing w:after="0" w:line="240" w:lineRule="auto"/>
        <w:jc w:val="both"/>
        <w:rPr>
          <w:rFonts w:ascii="Times New Roman" w:hAnsi="Times New Roman" w:cs="Times New Roman"/>
          <w:sz w:val="24"/>
          <w:szCs w:val="24"/>
        </w:rPr>
      </w:pPr>
      <w:r w:rsidRPr="0000255F">
        <w:rPr>
          <w:rFonts w:ascii="Times New Roman" w:hAnsi="Times New Roman" w:cs="Times New Roman"/>
          <w:sz w:val="24"/>
          <w:szCs w:val="24"/>
        </w:rPr>
        <w:t>The African Charter on the Rights and Welfare of the Child.</w:t>
      </w:r>
    </w:p>
    <w:p w14:paraId="58D440A9" w14:textId="77777777" w:rsidR="00E40716" w:rsidRPr="00790646" w:rsidRDefault="00E40716" w:rsidP="0000255F">
      <w:pPr>
        <w:spacing w:after="0" w:line="240" w:lineRule="auto"/>
        <w:jc w:val="both"/>
        <w:rPr>
          <w:rFonts w:ascii="Times New Roman" w:hAnsi="Times New Roman" w:cs="Times New Roman"/>
          <w:sz w:val="23"/>
          <w:szCs w:val="23"/>
        </w:rPr>
      </w:pPr>
      <w:r w:rsidRPr="00790646">
        <w:rPr>
          <w:rFonts w:ascii="Times New Roman" w:hAnsi="Times New Roman" w:cs="Times New Roman"/>
          <w:noProof/>
          <w:sz w:val="23"/>
          <w:szCs w:val="23"/>
        </w:rPr>
        <w:drawing>
          <wp:inline distT="0" distB="0" distL="0" distR="0" wp14:anchorId="02E6C34D" wp14:editId="69DF0B4E">
            <wp:extent cx="5410200" cy="6477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0200" cy="6477000"/>
                    </a:xfrm>
                    <a:prstGeom prst="rect">
                      <a:avLst/>
                    </a:prstGeom>
                  </pic:spPr>
                </pic:pic>
              </a:graphicData>
            </a:graphic>
          </wp:inline>
        </w:drawing>
      </w:r>
    </w:p>
    <w:p w14:paraId="61C17B2B" w14:textId="77777777" w:rsidR="00E40716" w:rsidRPr="00790646" w:rsidRDefault="00E40716" w:rsidP="0000255F">
      <w:pPr>
        <w:spacing w:after="0" w:line="240" w:lineRule="auto"/>
        <w:jc w:val="center"/>
        <w:rPr>
          <w:rFonts w:ascii="Times New Roman" w:hAnsi="Times New Roman" w:cs="Times New Roman"/>
          <w:b/>
          <w:bCs/>
          <w:sz w:val="23"/>
          <w:szCs w:val="23"/>
        </w:rPr>
      </w:pPr>
      <w:r w:rsidRPr="00790646">
        <w:rPr>
          <w:rFonts w:ascii="Times New Roman" w:hAnsi="Times New Roman" w:cs="Times New Roman"/>
          <w:b/>
          <w:bCs/>
          <w:sz w:val="23"/>
          <w:szCs w:val="23"/>
        </w:rPr>
        <w:t xml:space="preserve">Figure </w:t>
      </w:r>
      <w:r w:rsidRPr="00790646">
        <w:rPr>
          <w:rFonts w:ascii="Times New Roman" w:hAnsi="Times New Roman" w:cs="Times New Roman"/>
          <w:b/>
          <w:bCs/>
          <w:sz w:val="23"/>
          <w:szCs w:val="23"/>
        </w:rPr>
        <w:fldChar w:fldCharType="begin"/>
      </w:r>
      <w:r w:rsidRPr="00790646">
        <w:rPr>
          <w:rFonts w:ascii="Times New Roman" w:hAnsi="Times New Roman" w:cs="Times New Roman"/>
          <w:b/>
          <w:bCs/>
          <w:sz w:val="23"/>
          <w:szCs w:val="23"/>
        </w:rPr>
        <w:instrText xml:space="preserve"> SEQ Figure \* ARABIC </w:instrText>
      </w:r>
      <w:r w:rsidRPr="00790646">
        <w:rPr>
          <w:rFonts w:ascii="Times New Roman" w:hAnsi="Times New Roman" w:cs="Times New Roman"/>
          <w:b/>
          <w:bCs/>
          <w:sz w:val="23"/>
          <w:szCs w:val="23"/>
        </w:rPr>
        <w:fldChar w:fldCharType="separate"/>
      </w:r>
      <w:r w:rsidRPr="00790646">
        <w:rPr>
          <w:rFonts w:ascii="Times New Roman" w:hAnsi="Times New Roman" w:cs="Times New Roman"/>
          <w:b/>
          <w:bCs/>
          <w:sz w:val="23"/>
          <w:szCs w:val="23"/>
        </w:rPr>
        <w:t>1</w:t>
      </w:r>
      <w:r w:rsidRPr="00790646">
        <w:rPr>
          <w:rFonts w:ascii="Times New Roman" w:hAnsi="Times New Roman" w:cs="Times New Roman"/>
          <w:sz w:val="23"/>
          <w:szCs w:val="23"/>
        </w:rPr>
        <w:fldChar w:fldCharType="end"/>
      </w:r>
      <w:r w:rsidRPr="00790646">
        <w:rPr>
          <w:rFonts w:ascii="Times New Roman" w:hAnsi="Times New Roman" w:cs="Times New Roman"/>
          <w:b/>
          <w:bCs/>
          <w:sz w:val="23"/>
          <w:szCs w:val="23"/>
        </w:rPr>
        <w:t xml:space="preserve"> : Kenya Legal Framework for Gender Based Violence</w:t>
      </w:r>
    </w:p>
    <w:p w14:paraId="569F106A" w14:textId="77777777" w:rsidR="00E40716" w:rsidRPr="0000255F" w:rsidRDefault="00E40716" w:rsidP="0000255F">
      <w:pPr>
        <w:spacing w:after="0" w:line="240" w:lineRule="auto"/>
        <w:jc w:val="both"/>
        <w:rPr>
          <w:rFonts w:ascii="Times New Roman" w:hAnsi="Times New Roman" w:cs="Times New Roman"/>
          <w:sz w:val="24"/>
          <w:szCs w:val="24"/>
          <w:lang w:val="en-GB"/>
        </w:rPr>
      </w:pPr>
    </w:p>
    <w:p w14:paraId="2F458CA6" w14:textId="77777777" w:rsidR="00E40716" w:rsidRPr="0000255F" w:rsidRDefault="00E40716" w:rsidP="0000255F">
      <w:pPr>
        <w:spacing w:after="0" w:line="240" w:lineRule="auto"/>
        <w:jc w:val="both"/>
        <w:rPr>
          <w:rFonts w:ascii="Times New Roman" w:hAnsi="Times New Roman" w:cs="Times New Roman"/>
          <w:sz w:val="24"/>
          <w:szCs w:val="24"/>
          <w:lang w:val="en-GB"/>
        </w:rPr>
      </w:pPr>
    </w:p>
    <w:p w14:paraId="1A31837D" w14:textId="77777777" w:rsidR="00E40716" w:rsidRPr="0000255F" w:rsidRDefault="00E40716" w:rsidP="0000255F">
      <w:pPr>
        <w:spacing w:after="0" w:line="240" w:lineRule="auto"/>
        <w:jc w:val="both"/>
        <w:rPr>
          <w:rFonts w:ascii="Times New Roman" w:hAnsi="Times New Roman" w:cs="Times New Roman"/>
          <w:b/>
          <w:bCs/>
          <w:sz w:val="24"/>
          <w:szCs w:val="24"/>
        </w:rPr>
        <w:sectPr w:rsidR="00E40716" w:rsidRPr="0000255F" w:rsidSect="004028DC">
          <w:pgSz w:w="11900" w:h="16840" w:code="9"/>
          <w:pgMar w:top="1440" w:right="1440" w:bottom="1440" w:left="1440" w:header="720" w:footer="720" w:gutter="0"/>
          <w:cols w:space="720"/>
          <w:docGrid w:linePitch="360"/>
        </w:sectPr>
      </w:pPr>
    </w:p>
    <w:p w14:paraId="788E1B50" w14:textId="3A1B700E" w:rsidR="00E40716" w:rsidRPr="00D16B3D" w:rsidRDefault="0000255F" w:rsidP="00D16B3D">
      <w:pPr>
        <w:pStyle w:val="Heading1"/>
        <w:rPr>
          <w:sz w:val="23"/>
          <w:szCs w:val="23"/>
        </w:rPr>
      </w:pPr>
      <w:bookmarkStart w:id="13" w:name="_Toc141127688"/>
      <w:r w:rsidRPr="00D16B3D">
        <w:rPr>
          <w:sz w:val="23"/>
          <w:szCs w:val="23"/>
        </w:rPr>
        <w:lastRenderedPageBreak/>
        <w:t>CATEGORIZATION OF SEXUAL EXPLOITATION AND ABUSE/ SEXUAL HARASSMENT</w:t>
      </w:r>
      <w:bookmarkEnd w:id="13"/>
      <w:r w:rsidRPr="00D16B3D">
        <w:rPr>
          <w:sz w:val="23"/>
          <w:szCs w:val="23"/>
        </w:rPr>
        <w:t xml:space="preserve"> </w:t>
      </w:r>
    </w:p>
    <w:p w14:paraId="635585C7" w14:textId="16F72429" w:rsidR="0000255F" w:rsidRPr="00D16B3D" w:rsidRDefault="0000255F" w:rsidP="00D16B3D">
      <w:pPr>
        <w:spacing w:after="0" w:line="240" w:lineRule="auto"/>
        <w:jc w:val="both"/>
        <w:rPr>
          <w:rFonts w:ascii="Times New Roman" w:hAnsi="Times New Roman" w:cs="Times New Roman"/>
          <w:bCs/>
          <w:sz w:val="23"/>
          <w:szCs w:val="23"/>
          <w:lang w:val="en-GB"/>
        </w:rPr>
      </w:pPr>
    </w:p>
    <w:p w14:paraId="223305D9" w14:textId="472EB347" w:rsidR="0000255F" w:rsidRPr="00D16B3D" w:rsidRDefault="0000255F" w:rsidP="00D16B3D">
      <w:pPr>
        <w:pStyle w:val="Heading2"/>
        <w:ind w:left="900" w:hanging="900"/>
        <w:rPr>
          <w:sz w:val="23"/>
          <w:szCs w:val="23"/>
        </w:rPr>
      </w:pPr>
      <w:bookmarkStart w:id="14" w:name="_Toc141127689"/>
      <w:r w:rsidRPr="00D16B3D">
        <w:rPr>
          <w:sz w:val="23"/>
          <w:szCs w:val="23"/>
        </w:rPr>
        <w:t>Background</w:t>
      </w:r>
      <w:bookmarkEnd w:id="14"/>
      <w:r w:rsidRPr="00D16B3D">
        <w:rPr>
          <w:sz w:val="23"/>
          <w:szCs w:val="23"/>
        </w:rPr>
        <w:t xml:space="preserve"> </w:t>
      </w:r>
    </w:p>
    <w:p w14:paraId="29F1CF53" w14:textId="77777777" w:rsidR="004839EF" w:rsidRPr="00D16B3D" w:rsidRDefault="004839EF" w:rsidP="00D16B3D">
      <w:pPr>
        <w:spacing w:after="0" w:line="240" w:lineRule="auto"/>
        <w:jc w:val="both"/>
        <w:rPr>
          <w:rFonts w:ascii="Times New Roman" w:hAnsi="Times New Roman" w:cs="Times New Roman"/>
          <w:sz w:val="23"/>
          <w:szCs w:val="23"/>
        </w:rPr>
      </w:pPr>
    </w:p>
    <w:p w14:paraId="1660568E" w14:textId="4938EF25" w:rsidR="004839EF" w:rsidRPr="00D16B3D" w:rsidRDefault="00FA5FDC" w:rsidP="00D16B3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According to the 2022 SEA/SH Good Practice Note, Gender Based Violence (</w:t>
      </w:r>
      <w:r w:rsidR="004839EF" w:rsidRPr="00D16B3D">
        <w:rPr>
          <w:rFonts w:ascii="Times New Roman" w:hAnsi="Times New Roman" w:cs="Times New Roman"/>
          <w:sz w:val="23"/>
          <w:szCs w:val="23"/>
        </w:rPr>
        <w:t>GBV</w:t>
      </w:r>
      <w:r>
        <w:rPr>
          <w:rFonts w:ascii="Times New Roman" w:hAnsi="Times New Roman" w:cs="Times New Roman"/>
          <w:sz w:val="23"/>
          <w:szCs w:val="23"/>
        </w:rPr>
        <w:t>)</w:t>
      </w:r>
      <w:r w:rsidR="004839EF" w:rsidRPr="00D16B3D">
        <w:rPr>
          <w:rFonts w:ascii="Times New Roman" w:hAnsi="Times New Roman" w:cs="Times New Roman"/>
          <w:sz w:val="23"/>
          <w:szCs w:val="23"/>
        </w:rPr>
        <w:t xml:space="preserve"> is an umbrella term for any harmful act that is perpetrated against a person’s will and that is based on </w:t>
      </w:r>
      <w:r w:rsidR="005D345D" w:rsidRPr="00D16B3D">
        <w:rPr>
          <w:rFonts w:ascii="Times New Roman" w:hAnsi="Times New Roman" w:cs="Times New Roman"/>
          <w:sz w:val="23"/>
          <w:szCs w:val="23"/>
        </w:rPr>
        <w:t>socially ascribed</w:t>
      </w:r>
      <w:r w:rsidR="004839EF" w:rsidRPr="00D16B3D">
        <w:rPr>
          <w:rFonts w:ascii="Times New Roman" w:hAnsi="Times New Roman" w:cs="Times New Roman"/>
          <w:sz w:val="23"/>
          <w:szCs w:val="23"/>
        </w:rPr>
        <w:t xml:space="preserve"> gender differences. GBV includes acts that inflict physical, mental, sexual harm or suffering; threats of such acts; and coercion and other deprivations of liberty, whether occurring in public or in private life. GBV disproportionately impacts women, girls and LGBTQI+ individuals across their lifespan and takes many forms, including sexual, physical, and psychological abuse. It occurs at home, on the streets, in schools, workplaces, farm fields, and refugee </w:t>
      </w:r>
      <w:r w:rsidR="005D345D" w:rsidRPr="00D16B3D">
        <w:rPr>
          <w:rFonts w:ascii="Times New Roman" w:hAnsi="Times New Roman" w:cs="Times New Roman"/>
          <w:sz w:val="23"/>
          <w:szCs w:val="23"/>
        </w:rPr>
        <w:t>camps,</w:t>
      </w:r>
      <w:r w:rsidR="004839EF" w:rsidRPr="00D16B3D">
        <w:rPr>
          <w:rFonts w:ascii="Times New Roman" w:hAnsi="Times New Roman" w:cs="Times New Roman"/>
          <w:sz w:val="23"/>
          <w:szCs w:val="23"/>
        </w:rPr>
        <w:t xml:space="preserve"> during times of peace as well as in conflicts and crises.</w:t>
      </w:r>
    </w:p>
    <w:p w14:paraId="4224C002" w14:textId="77777777" w:rsidR="004839EF" w:rsidRPr="00D16B3D" w:rsidRDefault="004839EF" w:rsidP="00D16B3D">
      <w:pPr>
        <w:spacing w:after="0" w:line="240" w:lineRule="auto"/>
        <w:jc w:val="both"/>
        <w:rPr>
          <w:rFonts w:ascii="Times New Roman" w:hAnsi="Times New Roman" w:cs="Times New Roman"/>
          <w:sz w:val="23"/>
          <w:szCs w:val="23"/>
        </w:rPr>
      </w:pPr>
    </w:p>
    <w:p w14:paraId="34F6E587" w14:textId="020255E3" w:rsidR="004839EF" w:rsidRPr="00D16B3D" w:rsidRDefault="005D345D" w:rsidP="00D16B3D">
      <w:p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SEA and SH are manifestations of GBV. There are four broad categories of GBV that may be relevant to World Bank-financed IPF involving major civil works. However, since SEA and workplace SH are the types of GBV most relevant to IPF, the risk identification and mitigation of these forms of GBV are the primary focus of this GPN.</w:t>
      </w:r>
    </w:p>
    <w:p w14:paraId="15527515" w14:textId="77777777" w:rsidR="004839EF" w:rsidRPr="00D16B3D" w:rsidRDefault="004839EF" w:rsidP="00D16B3D">
      <w:pPr>
        <w:spacing w:after="0" w:line="240" w:lineRule="auto"/>
        <w:jc w:val="both"/>
        <w:rPr>
          <w:rFonts w:ascii="Times New Roman" w:hAnsi="Times New Roman" w:cs="Times New Roman"/>
          <w:sz w:val="23"/>
          <w:szCs w:val="23"/>
        </w:rPr>
      </w:pPr>
    </w:p>
    <w:p w14:paraId="704A709B" w14:textId="07641372" w:rsidR="00E40716" w:rsidRPr="00D16B3D" w:rsidRDefault="00E40716" w:rsidP="00D16B3D">
      <w:p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The WB Guidance Note on</w:t>
      </w:r>
      <w:r w:rsidR="00836BFB" w:rsidRPr="00D16B3D">
        <w:rPr>
          <w:rFonts w:ascii="Times New Roman" w:hAnsi="Times New Roman" w:cs="Times New Roman"/>
          <w:sz w:val="23"/>
          <w:szCs w:val="23"/>
        </w:rPr>
        <w:t xml:space="preserve"> </w:t>
      </w:r>
      <w:r w:rsidR="000B4750" w:rsidRPr="00D16B3D">
        <w:rPr>
          <w:rFonts w:ascii="Times New Roman" w:hAnsi="Times New Roman" w:cs="Times New Roman"/>
          <w:sz w:val="23"/>
          <w:szCs w:val="23"/>
        </w:rPr>
        <w:t>recommends</w:t>
      </w:r>
      <w:r w:rsidR="00836BFB" w:rsidRPr="00D16B3D">
        <w:rPr>
          <w:rFonts w:ascii="Times New Roman" w:hAnsi="Times New Roman" w:cs="Times New Roman"/>
          <w:sz w:val="23"/>
          <w:szCs w:val="23"/>
        </w:rPr>
        <w:t xml:space="preserve"> </w:t>
      </w:r>
      <w:r w:rsidR="005D345D" w:rsidRPr="00D16B3D">
        <w:rPr>
          <w:rFonts w:ascii="Times New Roman" w:hAnsi="Times New Roman" w:cs="Times New Roman"/>
          <w:sz w:val="23"/>
          <w:szCs w:val="23"/>
        </w:rPr>
        <w:t>a survivor centered. This a</w:t>
      </w:r>
      <w:r w:rsidR="00836BFB" w:rsidRPr="00D16B3D">
        <w:rPr>
          <w:rFonts w:ascii="Times New Roman" w:hAnsi="Times New Roman" w:cs="Times New Roman"/>
          <w:sz w:val="23"/>
          <w:szCs w:val="23"/>
        </w:rPr>
        <w:t xml:space="preserve">pproach considerations related to SEA/SH mitigation and response through a survivor-centered lens, 8 protecting the confidentiality of </w:t>
      </w:r>
      <w:r w:rsidR="005D345D" w:rsidRPr="00D16B3D">
        <w:rPr>
          <w:rFonts w:ascii="Times New Roman" w:hAnsi="Times New Roman" w:cs="Times New Roman"/>
          <w:sz w:val="23"/>
          <w:szCs w:val="23"/>
        </w:rPr>
        <w:t>survivors,</w:t>
      </w:r>
      <w:r w:rsidR="00836BFB" w:rsidRPr="00D16B3D">
        <w:rPr>
          <w:rFonts w:ascii="Times New Roman" w:hAnsi="Times New Roman" w:cs="Times New Roman"/>
          <w:sz w:val="23"/>
          <w:szCs w:val="23"/>
        </w:rPr>
        <w:t xml:space="preserve"> practicing nondiscrimination, centering their safety, and treating them with agency, </w:t>
      </w:r>
      <w:r w:rsidR="005D345D" w:rsidRPr="00D16B3D">
        <w:rPr>
          <w:rFonts w:ascii="Times New Roman" w:hAnsi="Times New Roman" w:cs="Times New Roman"/>
          <w:sz w:val="23"/>
          <w:szCs w:val="23"/>
        </w:rPr>
        <w:t>dignity,</w:t>
      </w:r>
      <w:r w:rsidR="00836BFB" w:rsidRPr="00D16B3D">
        <w:rPr>
          <w:rFonts w:ascii="Times New Roman" w:hAnsi="Times New Roman" w:cs="Times New Roman"/>
          <w:sz w:val="23"/>
          <w:szCs w:val="23"/>
        </w:rPr>
        <w:t xml:space="preserve"> and respect for their needs. For adults it means following the survivor’s wishes and recognizing the survivor as the principal decision maker in their own care. For children it means ensuring that the best interest of the child is always the primary consideration in all actions concerning a child. In relation to incidents of SEA/SH involving children, the child’s wishes and opinions on their situation should be considered in determining the best interests of the child.</w:t>
      </w:r>
    </w:p>
    <w:p w14:paraId="48FFA3C7" w14:textId="77777777" w:rsidR="0000255F" w:rsidRPr="00D16B3D" w:rsidRDefault="0000255F" w:rsidP="00D16B3D">
      <w:pPr>
        <w:spacing w:after="0" w:line="240" w:lineRule="auto"/>
        <w:jc w:val="both"/>
        <w:rPr>
          <w:rFonts w:ascii="Times New Roman" w:hAnsi="Times New Roman" w:cs="Times New Roman"/>
          <w:sz w:val="23"/>
          <w:szCs w:val="23"/>
          <w:lang w:val="en-GB"/>
        </w:rPr>
      </w:pPr>
    </w:p>
    <w:p w14:paraId="72CEEBDB" w14:textId="0CF502AB" w:rsidR="00E40716" w:rsidRPr="00D16B3D" w:rsidRDefault="00E40716" w:rsidP="00D16B3D">
      <w:pPr>
        <w:pStyle w:val="Heading2"/>
        <w:ind w:left="900" w:hanging="900"/>
        <w:rPr>
          <w:sz w:val="23"/>
          <w:szCs w:val="23"/>
        </w:rPr>
      </w:pPr>
      <w:bookmarkStart w:id="15" w:name="_Toc141127690"/>
      <w:r w:rsidRPr="00D16B3D">
        <w:rPr>
          <w:sz w:val="23"/>
          <w:szCs w:val="23"/>
        </w:rPr>
        <w:t>Potential Project-Related SEA/SH Risks</w:t>
      </w:r>
      <w:bookmarkEnd w:id="15"/>
    </w:p>
    <w:p w14:paraId="76F7AEBB" w14:textId="77777777" w:rsidR="0000255F" w:rsidRDefault="0000255F" w:rsidP="00D16B3D">
      <w:pPr>
        <w:spacing w:after="0" w:line="240" w:lineRule="auto"/>
        <w:jc w:val="both"/>
        <w:rPr>
          <w:rFonts w:ascii="Times New Roman" w:hAnsi="Times New Roman" w:cs="Times New Roman"/>
          <w:sz w:val="23"/>
          <w:szCs w:val="23"/>
        </w:rPr>
      </w:pPr>
    </w:p>
    <w:p w14:paraId="21E51F06" w14:textId="77777777" w:rsidR="00D80996" w:rsidRDefault="004A7073" w:rsidP="00D16B3D">
      <w:pPr>
        <w:spacing w:after="0" w:line="240" w:lineRule="auto"/>
        <w:jc w:val="both"/>
        <w:rPr>
          <w:rFonts w:ascii="Times New Roman" w:hAnsi="Times New Roman" w:cs="Times New Roman"/>
          <w:sz w:val="23"/>
          <w:szCs w:val="23"/>
        </w:rPr>
      </w:pPr>
      <w:r w:rsidRPr="004A7073">
        <w:rPr>
          <w:rFonts w:ascii="Times New Roman" w:hAnsi="Times New Roman" w:cs="Times New Roman"/>
          <w:sz w:val="23"/>
          <w:szCs w:val="23"/>
        </w:rPr>
        <w:t xml:space="preserve">The project’s SEA/SH risks classification is </w:t>
      </w:r>
      <w:r w:rsidRPr="004A7073">
        <w:rPr>
          <w:rFonts w:ascii="Times New Roman" w:hAnsi="Times New Roman" w:cs="Times New Roman"/>
          <w:b/>
          <w:bCs/>
          <w:sz w:val="23"/>
          <w:szCs w:val="23"/>
        </w:rPr>
        <w:t>moderate</w:t>
      </w:r>
      <w:r w:rsidRPr="004A7073">
        <w:rPr>
          <w:rFonts w:ascii="Times New Roman" w:hAnsi="Times New Roman" w:cs="Times New Roman"/>
          <w:sz w:val="23"/>
          <w:szCs w:val="23"/>
        </w:rPr>
        <w:t xml:space="preserve">. However, the World Bank will review the appropriateness of the moderate SEA/SH classification for the Project during project implementation. The project will be implemented country-wide, accordingly to the 2014 Kenya Demographic and Health Survey, 44 percent of women aged 15-49, there has been a significant increase in cases related to GBV in Kenya during the COVID-19 pandemic in 2020 and 2021. Component 1 includes the construction of broadband infrastructure and access which will be implemented in both urban and rural/remote areas where there are high levels of poverty, and lack of accessibility to services with high SEA/SH prevalence rates. The construction works are not expected to result in significant project induced in-migration/labor influx thus low likelihood of exacerbating SEA/SH risks. </w:t>
      </w:r>
    </w:p>
    <w:p w14:paraId="5CD0D3D8" w14:textId="77777777" w:rsidR="00D80996" w:rsidRDefault="00D80996" w:rsidP="00D16B3D">
      <w:pPr>
        <w:spacing w:after="0" w:line="240" w:lineRule="auto"/>
        <w:jc w:val="both"/>
        <w:rPr>
          <w:rFonts w:ascii="Times New Roman" w:hAnsi="Times New Roman" w:cs="Times New Roman"/>
          <w:sz w:val="23"/>
          <w:szCs w:val="23"/>
        </w:rPr>
      </w:pPr>
    </w:p>
    <w:p w14:paraId="6ACEB2ED" w14:textId="77777777" w:rsidR="0066460F" w:rsidRDefault="004A7073" w:rsidP="00D16B3D">
      <w:pPr>
        <w:spacing w:after="0" w:line="240" w:lineRule="auto"/>
        <w:jc w:val="both"/>
        <w:rPr>
          <w:rFonts w:ascii="Times New Roman" w:hAnsi="Times New Roman" w:cs="Times New Roman"/>
          <w:sz w:val="23"/>
          <w:szCs w:val="23"/>
        </w:rPr>
      </w:pPr>
      <w:r w:rsidRPr="004A7073">
        <w:rPr>
          <w:rFonts w:ascii="Times New Roman" w:hAnsi="Times New Roman" w:cs="Times New Roman"/>
          <w:sz w:val="23"/>
          <w:szCs w:val="23"/>
        </w:rPr>
        <w:t xml:space="preserve">The identification of the SEA/SH risk mitigation measure is guided by the WBG Good Practice Note on Addressing Sexual Exploitation and Abuse in Investment Projects Financing involving major civil works and the World Bank most recent ESF Directive. The Client has prepared the project SEA/SH Assessment and Action Plan which is under review by the World Bank Team and will be cleared and disclosed by the Bank prior to project effectiveness. Mitigation measures will include the following: (i) contractors’ workforce on all sites including schools </w:t>
      </w:r>
      <w:r w:rsidR="00D80996">
        <w:rPr>
          <w:rFonts w:ascii="Times New Roman" w:hAnsi="Times New Roman" w:cs="Times New Roman"/>
          <w:sz w:val="23"/>
          <w:szCs w:val="23"/>
        </w:rPr>
        <w:t xml:space="preserve"> and other institution </w:t>
      </w:r>
      <w:r w:rsidRPr="004A7073">
        <w:rPr>
          <w:rFonts w:ascii="Times New Roman" w:hAnsi="Times New Roman" w:cs="Times New Roman"/>
          <w:sz w:val="23"/>
          <w:szCs w:val="23"/>
        </w:rPr>
        <w:t xml:space="preserve">will be lean, trained and well supervised minimizing the SEA/SH risks for the project; (ii) all supervision consultants and contractor’s workers will include full time social and gender experts and community liaison officers; (iii) all workers will sign a code of conduct; (iii) SEA/SH training for ICTA staff, supervision consultants staff and the contractor’s workers will continue throughout </w:t>
      </w:r>
      <w:r w:rsidRPr="004A7073">
        <w:rPr>
          <w:rFonts w:ascii="Times New Roman" w:hAnsi="Times New Roman" w:cs="Times New Roman"/>
          <w:sz w:val="23"/>
          <w:szCs w:val="23"/>
        </w:rPr>
        <w:lastRenderedPageBreak/>
        <w:t xml:space="preserve">project implementation; (iv) SEA/SH mitigation measures will be incorporated into the Environmental and Social Management Plans (ESMPs); (v) stakeholders' consultations will properly inform communities and stakeholders of the project on SEA/SH risks; (vi) the project grievance redress mechanism will provide multiple channels to initiate complaints, including specific procedures for SEA/SH related complaints including confidential reporting with safe and ethical documentation of SEA/SH and (vii) the project will maintain SEA/SH staff for PIU, Supervision Consultants and Contractors. </w:t>
      </w:r>
    </w:p>
    <w:p w14:paraId="7046B146" w14:textId="77777777" w:rsidR="0066460F" w:rsidRDefault="0066460F" w:rsidP="00D16B3D">
      <w:pPr>
        <w:spacing w:after="0" w:line="240" w:lineRule="auto"/>
        <w:jc w:val="both"/>
        <w:rPr>
          <w:rFonts w:ascii="Times New Roman" w:hAnsi="Times New Roman" w:cs="Times New Roman"/>
          <w:sz w:val="23"/>
          <w:szCs w:val="23"/>
        </w:rPr>
      </w:pPr>
    </w:p>
    <w:p w14:paraId="6FBF4EB8" w14:textId="7EC674F6" w:rsidR="004A7073" w:rsidRDefault="004A7073" w:rsidP="00D16B3D">
      <w:pPr>
        <w:spacing w:after="0" w:line="240" w:lineRule="auto"/>
        <w:jc w:val="both"/>
        <w:rPr>
          <w:rFonts w:ascii="Times New Roman" w:hAnsi="Times New Roman" w:cs="Times New Roman"/>
          <w:sz w:val="23"/>
          <w:szCs w:val="23"/>
        </w:rPr>
      </w:pPr>
      <w:r w:rsidRPr="004A7073">
        <w:rPr>
          <w:rFonts w:ascii="Times New Roman" w:hAnsi="Times New Roman" w:cs="Times New Roman"/>
          <w:sz w:val="23"/>
          <w:szCs w:val="23"/>
        </w:rPr>
        <w:t xml:space="preserve">ICTA </w:t>
      </w:r>
      <w:r w:rsidR="0066460F">
        <w:rPr>
          <w:rFonts w:ascii="Times New Roman" w:hAnsi="Times New Roman" w:cs="Times New Roman"/>
          <w:sz w:val="23"/>
          <w:szCs w:val="23"/>
        </w:rPr>
        <w:t xml:space="preserve">the project’s main implementing agency </w:t>
      </w:r>
      <w:r w:rsidRPr="004A7073">
        <w:rPr>
          <w:rFonts w:ascii="Times New Roman" w:hAnsi="Times New Roman" w:cs="Times New Roman"/>
          <w:sz w:val="23"/>
          <w:szCs w:val="23"/>
        </w:rPr>
        <w:t xml:space="preserve">is currently </w:t>
      </w:r>
      <w:r w:rsidR="0066460F">
        <w:rPr>
          <w:rFonts w:ascii="Times New Roman" w:hAnsi="Times New Roman" w:cs="Times New Roman"/>
          <w:sz w:val="23"/>
          <w:szCs w:val="23"/>
        </w:rPr>
        <w:t>i</w:t>
      </w:r>
      <w:r w:rsidRPr="004A7073">
        <w:rPr>
          <w:rFonts w:ascii="Times New Roman" w:hAnsi="Times New Roman" w:cs="Times New Roman"/>
          <w:sz w:val="23"/>
          <w:szCs w:val="23"/>
        </w:rPr>
        <w:t>mplementing two World Bank-financed projects with similar activities to KDEAP. This includes the Eastern Africa Regional Transport and Trade Development Facilitation Project (EARTTDFP, P145583) and the Horn of Africa Gateway Development Project (</w:t>
      </w:r>
      <w:proofErr w:type="spellStart"/>
      <w:r w:rsidR="00581E42" w:rsidRPr="004A7073">
        <w:rPr>
          <w:rFonts w:ascii="Times New Roman" w:hAnsi="Times New Roman" w:cs="Times New Roman"/>
          <w:sz w:val="23"/>
          <w:szCs w:val="23"/>
        </w:rPr>
        <w:t>HoAGDP</w:t>
      </w:r>
      <w:proofErr w:type="spellEnd"/>
      <w:r w:rsidR="00581E42" w:rsidRPr="004A7073">
        <w:rPr>
          <w:rFonts w:ascii="Times New Roman" w:hAnsi="Times New Roman" w:cs="Times New Roman"/>
          <w:sz w:val="23"/>
          <w:szCs w:val="23"/>
        </w:rPr>
        <w:t>, P</w:t>
      </w:r>
      <w:r w:rsidRPr="004A7073">
        <w:rPr>
          <w:rFonts w:ascii="Times New Roman" w:hAnsi="Times New Roman" w:cs="Times New Roman"/>
          <w:sz w:val="23"/>
          <w:szCs w:val="23"/>
        </w:rPr>
        <w:t>161305) where ICTA is a key implementing agency. Both projects are implementing the WBG GBV good practice note. During the last six years of implementation of these projects, the World Bank Group has continuously provided targeted training to ICTA staff as well as associated contractors and supervising engineers. Under the EARTTDFP for the last six years there have not been any SEA/SH cases reported involving ICTA-related works. Further, ICTA has a Gender and Sexual Exploitation and Abuse Policy and a separate Gender Mainstreaming Policy. In the institution, there exists a Gender Committee and a Gender Focal Point responsible for the management of SEA/SH risks for the Authority.</w:t>
      </w:r>
    </w:p>
    <w:p w14:paraId="295CEF36" w14:textId="77777777" w:rsidR="004A7073" w:rsidRDefault="004A7073" w:rsidP="00D16B3D">
      <w:pPr>
        <w:spacing w:after="0" w:line="240" w:lineRule="auto"/>
        <w:jc w:val="both"/>
        <w:rPr>
          <w:rFonts w:ascii="Times New Roman" w:hAnsi="Times New Roman" w:cs="Times New Roman"/>
          <w:sz w:val="23"/>
          <w:szCs w:val="23"/>
        </w:rPr>
      </w:pPr>
    </w:p>
    <w:p w14:paraId="073B3303" w14:textId="193BE215" w:rsidR="00E40716" w:rsidRPr="00D16B3D" w:rsidRDefault="00E40716" w:rsidP="00D16B3D">
      <w:p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 xml:space="preserve">The </w:t>
      </w:r>
      <w:r w:rsidR="000D081F" w:rsidRPr="00D16B3D">
        <w:rPr>
          <w:rFonts w:ascii="Times New Roman" w:hAnsi="Times New Roman" w:cs="Times New Roman"/>
          <w:sz w:val="23"/>
          <w:szCs w:val="23"/>
        </w:rPr>
        <w:t xml:space="preserve">KDEAP </w:t>
      </w:r>
      <w:r w:rsidRPr="00D16B3D">
        <w:rPr>
          <w:rFonts w:ascii="Times New Roman" w:hAnsi="Times New Roman" w:cs="Times New Roman"/>
          <w:sz w:val="23"/>
          <w:szCs w:val="23"/>
        </w:rPr>
        <w:t>project will engage direct workers who will be government employees mainly from the National Treasury, and consultants that the PIU will hire for the delivery of specific time-bound technical tasks and assistance. The civil servants engaged in the project will be subject to and governed by the Employment Act of 2007, public service regulations and Human Resources Manuals. The consultants on the other hand will be governed by a set of mutually agreed contracts.</w:t>
      </w:r>
    </w:p>
    <w:p w14:paraId="326CD30A" w14:textId="77777777" w:rsidR="0000255F" w:rsidRPr="00D16B3D" w:rsidRDefault="0000255F" w:rsidP="00D16B3D">
      <w:pPr>
        <w:spacing w:after="0" w:line="240" w:lineRule="auto"/>
        <w:jc w:val="both"/>
        <w:rPr>
          <w:rFonts w:ascii="Times New Roman" w:hAnsi="Times New Roman" w:cs="Times New Roman"/>
          <w:sz w:val="23"/>
          <w:szCs w:val="23"/>
        </w:rPr>
      </w:pPr>
    </w:p>
    <w:p w14:paraId="0520B6B6" w14:textId="07F9255F" w:rsidR="00E40716" w:rsidRPr="00D16B3D" w:rsidRDefault="00E40716" w:rsidP="00D16B3D">
      <w:pPr>
        <w:numPr>
          <w:ilvl w:val="0"/>
          <w:numId w:val="2"/>
        </w:num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Direct Workers. The project will engage the following types of workers as “direct workers”:</w:t>
      </w:r>
    </w:p>
    <w:p w14:paraId="7C1B555F" w14:textId="77777777" w:rsidR="00AB1075" w:rsidRPr="00D16B3D" w:rsidRDefault="00AB1075" w:rsidP="00D16B3D">
      <w:pPr>
        <w:spacing w:after="0" w:line="240" w:lineRule="auto"/>
        <w:ind w:left="360"/>
        <w:jc w:val="both"/>
        <w:rPr>
          <w:rFonts w:ascii="Times New Roman" w:hAnsi="Times New Roman" w:cs="Times New Roman"/>
          <w:sz w:val="23"/>
          <w:szCs w:val="23"/>
        </w:rPr>
      </w:pPr>
    </w:p>
    <w:p w14:paraId="530E1592" w14:textId="6AE50E16" w:rsidR="00E40716" w:rsidRPr="00790646" w:rsidRDefault="00E40716" w:rsidP="00D16B3D">
      <w:pPr>
        <w:numPr>
          <w:ilvl w:val="0"/>
          <w:numId w:val="3"/>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 xml:space="preserve">Project Implementation Unit (PIU): A PIU will be set up within the </w:t>
      </w:r>
      <w:r w:rsidR="00990AAB" w:rsidRPr="00790646">
        <w:rPr>
          <w:rFonts w:ascii="Times New Roman" w:hAnsi="Times New Roman" w:cs="Times New Roman"/>
          <w:sz w:val="23"/>
          <w:szCs w:val="23"/>
        </w:rPr>
        <w:t xml:space="preserve">ICTA </w:t>
      </w:r>
      <w:r w:rsidRPr="00790646">
        <w:rPr>
          <w:rFonts w:ascii="Times New Roman" w:hAnsi="Times New Roman" w:cs="Times New Roman"/>
          <w:sz w:val="23"/>
          <w:szCs w:val="23"/>
        </w:rPr>
        <w:t>to manage the project. It will have a Project Coordinator (PC) with overall responsibility for the effective functioning of the Project. The PIU will include cross-cutting functions as follows:</w:t>
      </w:r>
    </w:p>
    <w:p w14:paraId="5E5E5762" w14:textId="77777777" w:rsidR="00E40716" w:rsidRPr="00790646" w:rsidRDefault="00E40716" w:rsidP="00D16B3D">
      <w:pPr>
        <w:numPr>
          <w:ilvl w:val="0"/>
          <w:numId w:val="4"/>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Project Coordinator</w:t>
      </w:r>
    </w:p>
    <w:p w14:paraId="5636ACC1" w14:textId="31418534" w:rsidR="00990AAB" w:rsidRPr="00790646" w:rsidRDefault="00990AAB" w:rsidP="00D16B3D">
      <w:pPr>
        <w:numPr>
          <w:ilvl w:val="0"/>
          <w:numId w:val="4"/>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 xml:space="preserve">IT Specialists </w:t>
      </w:r>
    </w:p>
    <w:p w14:paraId="644B202B" w14:textId="77777777" w:rsidR="00E40716" w:rsidRPr="00790646" w:rsidRDefault="00E40716" w:rsidP="00D16B3D">
      <w:pPr>
        <w:numPr>
          <w:ilvl w:val="0"/>
          <w:numId w:val="4"/>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Procurement Specialist</w:t>
      </w:r>
    </w:p>
    <w:p w14:paraId="311DFC18" w14:textId="77777777" w:rsidR="00E40716" w:rsidRPr="00790646" w:rsidRDefault="00E40716" w:rsidP="00D16B3D">
      <w:pPr>
        <w:numPr>
          <w:ilvl w:val="0"/>
          <w:numId w:val="4"/>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Project Accountant</w:t>
      </w:r>
    </w:p>
    <w:p w14:paraId="665D02D4" w14:textId="77777777" w:rsidR="00E40716" w:rsidRPr="00790646" w:rsidRDefault="00E40716" w:rsidP="00D16B3D">
      <w:pPr>
        <w:numPr>
          <w:ilvl w:val="0"/>
          <w:numId w:val="4"/>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M&amp;E consultant</w:t>
      </w:r>
    </w:p>
    <w:p w14:paraId="19425E41" w14:textId="4898F0DC" w:rsidR="00E40716" w:rsidRPr="00790646" w:rsidRDefault="00E40716" w:rsidP="00D16B3D">
      <w:pPr>
        <w:numPr>
          <w:ilvl w:val="0"/>
          <w:numId w:val="4"/>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 xml:space="preserve">Environmental and </w:t>
      </w:r>
      <w:r w:rsidR="00886B72" w:rsidRPr="00790646">
        <w:rPr>
          <w:rFonts w:ascii="Times New Roman" w:hAnsi="Times New Roman" w:cs="Times New Roman"/>
          <w:sz w:val="23"/>
          <w:szCs w:val="23"/>
        </w:rPr>
        <w:t xml:space="preserve">Social </w:t>
      </w:r>
      <w:r w:rsidRPr="00790646">
        <w:rPr>
          <w:rFonts w:ascii="Times New Roman" w:hAnsi="Times New Roman" w:cs="Times New Roman"/>
          <w:sz w:val="23"/>
          <w:szCs w:val="23"/>
        </w:rPr>
        <w:t>(E&amp;S) safeguards consultant</w:t>
      </w:r>
    </w:p>
    <w:p w14:paraId="694BBB97" w14:textId="77777777" w:rsidR="0000255F" w:rsidRPr="00790646" w:rsidRDefault="0000255F" w:rsidP="00D16B3D">
      <w:pPr>
        <w:spacing w:after="0" w:line="240" w:lineRule="auto"/>
        <w:ind w:left="1440"/>
        <w:jc w:val="both"/>
        <w:rPr>
          <w:rFonts w:ascii="Times New Roman" w:hAnsi="Times New Roman" w:cs="Times New Roman"/>
          <w:sz w:val="23"/>
          <w:szCs w:val="23"/>
        </w:rPr>
      </w:pPr>
    </w:p>
    <w:p w14:paraId="222691EC" w14:textId="203E0A56" w:rsidR="00E40716" w:rsidRPr="00790646" w:rsidRDefault="00E40716" w:rsidP="00D16B3D">
      <w:pPr>
        <w:numPr>
          <w:ilvl w:val="0"/>
          <w:numId w:val="3"/>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 xml:space="preserve">Civil Servants: Various </w:t>
      </w:r>
      <w:r w:rsidR="009A5185" w:rsidRPr="00790646">
        <w:rPr>
          <w:rFonts w:ascii="Times New Roman" w:hAnsi="Times New Roman" w:cs="Times New Roman"/>
          <w:sz w:val="23"/>
          <w:szCs w:val="23"/>
        </w:rPr>
        <w:t>MICDE and ICTA</w:t>
      </w:r>
      <w:r w:rsidRPr="00790646">
        <w:rPr>
          <w:rFonts w:ascii="Times New Roman" w:hAnsi="Times New Roman" w:cs="Times New Roman"/>
          <w:sz w:val="23"/>
          <w:szCs w:val="23"/>
        </w:rPr>
        <w:t xml:space="preserve"> staff including </w:t>
      </w:r>
      <w:r w:rsidR="009A5185" w:rsidRPr="00790646">
        <w:rPr>
          <w:rFonts w:ascii="Times New Roman" w:hAnsi="Times New Roman" w:cs="Times New Roman"/>
          <w:sz w:val="23"/>
          <w:szCs w:val="23"/>
        </w:rPr>
        <w:t>IT exper</w:t>
      </w:r>
      <w:r w:rsidR="00990AAB" w:rsidRPr="00790646">
        <w:rPr>
          <w:rFonts w:ascii="Times New Roman" w:hAnsi="Times New Roman" w:cs="Times New Roman"/>
          <w:sz w:val="23"/>
          <w:szCs w:val="23"/>
        </w:rPr>
        <w:t>ts, IT engineers</w:t>
      </w:r>
      <w:r w:rsidRPr="00790646">
        <w:rPr>
          <w:rFonts w:ascii="Times New Roman" w:hAnsi="Times New Roman" w:cs="Times New Roman"/>
          <w:sz w:val="23"/>
          <w:szCs w:val="23"/>
        </w:rPr>
        <w:t xml:space="preserve">, finance experts, accountants and procurement officers will be involved in the project. These will be drawn from the civil service at the NT. </w:t>
      </w:r>
    </w:p>
    <w:p w14:paraId="56B6F74F" w14:textId="77777777" w:rsidR="0000255F" w:rsidRPr="00790646" w:rsidRDefault="0000255F" w:rsidP="00D16B3D">
      <w:pPr>
        <w:spacing w:after="0" w:line="240" w:lineRule="auto"/>
        <w:ind w:left="720"/>
        <w:jc w:val="both"/>
        <w:rPr>
          <w:rFonts w:ascii="Times New Roman" w:hAnsi="Times New Roman" w:cs="Times New Roman"/>
          <w:sz w:val="23"/>
          <w:szCs w:val="23"/>
        </w:rPr>
      </w:pPr>
    </w:p>
    <w:p w14:paraId="27178852" w14:textId="5BF3948B" w:rsidR="008D0374" w:rsidRPr="00790646" w:rsidRDefault="00E40716" w:rsidP="00D16B3D">
      <w:pPr>
        <w:numPr>
          <w:ilvl w:val="0"/>
          <w:numId w:val="3"/>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Consultants: The</w:t>
      </w:r>
      <w:r w:rsidR="00990AAB" w:rsidRPr="00790646">
        <w:rPr>
          <w:rFonts w:ascii="Times New Roman" w:hAnsi="Times New Roman" w:cs="Times New Roman"/>
          <w:sz w:val="23"/>
          <w:szCs w:val="23"/>
        </w:rPr>
        <w:t xml:space="preserve"> MICDE and ICTA will carry out activities related to supervision and T</w:t>
      </w:r>
      <w:r w:rsidRPr="00790646">
        <w:rPr>
          <w:rFonts w:ascii="Times New Roman" w:hAnsi="Times New Roman" w:cs="Times New Roman"/>
          <w:sz w:val="23"/>
          <w:szCs w:val="23"/>
        </w:rPr>
        <w:t xml:space="preserve">echnical </w:t>
      </w:r>
      <w:r w:rsidR="00990AAB" w:rsidRPr="00790646">
        <w:rPr>
          <w:rFonts w:ascii="Times New Roman" w:hAnsi="Times New Roman" w:cs="Times New Roman"/>
          <w:sz w:val="23"/>
          <w:szCs w:val="23"/>
        </w:rPr>
        <w:t>A</w:t>
      </w:r>
      <w:r w:rsidRPr="00790646">
        <w:rPr>
          <w:rFonts w:ascii="Times New Roman" w:hAnsi="Times New Roman" w:cs="Times New Roman"/>
          <w:sz w:val="23"/>
          <w:szCs w:val="23"/>
        </w:rPr>
        <w:t>ssistance (TA)</w:t>
      </w:r>
      <w:r w:rsidR="00990AAB" w:rsidRPr="00790646">
        <w:rPr>
          <w:rFonts w:ascii="Times New Roman" w:hAnsi="Times New Roman" w:cs="Times New Roman"/>
          <w:sz w:val="23"/>
          <w:szCs w:val="23"/>
        </w:rPr>
        <w:t xml:space="preserve">. The TA will be carried out by </w:t>
      </w:r>
      <w:r w:rsidRPr="00790646">
        <w:rPr>
          <w:rFonts w:ascii="Times New Roman" w:hAnsi="Times New Roman" w:cs="Times New Roman"/>
          <w:sz w:val="23"/>
          <w:szCs w:val="23"/>
        </w:rPr>
        <w:t xml:space="preserve">consultants, who will be hired on </w:t>
      </w:r>
      <w:r w:rsidR="0095507D" w:rsidRPr="00790646">
        <w:rPr>
          <w:rFonts w:ascii="Times New Roman" w:hAnsi="Times New Roman" w:cs="Times New Roman"/>
          <w:sz w:val="23"/>
          <w:szCs w:val="23"/>
        </w:rPr>
        <w:t xml:space="preserve">a </w:t>
      </w:r>
      <w:r w:rsidRPr="00790646">
        <w:rPr>
          <w:rFonts w:ascii="Times New Roman" w:hAnsi="Times New Roman" w:cs="Times New Roman"/>
          <w:sz w:val="23"/>
          <w:szCs w:val="23"/>
        </w:rPr>
        <w:t>needs-basis. The consultants will be assigned to various functions including safeguards.</w:t>
      </w:r>
    </w:p>
    <w:p w14:paraId="1AF28121" w14:textId="49F77F2B" w:rsidR="008D0374" w:rsidRPr="00790646" w:rsidRDefault="008D0374" w:rsidP="00D16B3D">
      <w:pPr>
        <w:numPr>
          <w:ilvl w:val="0"/>
          <w:numId w:val="3"/>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 xml:space="preserve">Contractor </w:t>
      </w:r>
      <w:r w:rsidR="00A64B9B" w:rsidRPr="00790646">
        <w:rPr>
          <w:rFonts w:ascii="Times New Roman" w:hAnsi="Times New Roman" w:cs="Times New Roman"/>
          <w:sz w:val="23"/>
          <w:szCs w:val="23"/>
        </w:rPr>
        <w:t>workers</w:t>
      </w:r>
      <w:r w:rsidR="001F2774">
        <w:rPr>
          <w:rFonts w:ascii="Times New Roman" w:hAnsi="Times New Roman" w:cs="Times New Roman"/>
          <w:sz w:val="23"/>
          <w:szCs w:val="23"/>
        </w:rPr>
        <w:t xml:space="preserve"> : the contractors will maintain lean staff with</w:t>
      </w:r>
      <w:r w:rsidR="00774F9C">
        <w:rPr>
          <w:rFonts w:ascii="Times New Roman" w:hAnsi="Times New Roman" w:cs="Times New Roman"/>
          <w:sz w:val="23"/>
          <w:szCs w:val="23"/>
        </w:rPr>
        <w:t xml:space="preserve"> close oversight.</w:t>
      </w:r>
    </w:p>
    <w:p w14:paraId="03EB4FE4" w14:textId="4C937A85" w:rsidR="008D0374" w:rsidRPr="00790646" w:rsidRDefault="00027A3E" w:rsidP="00D16B3D">
      <w:pPr>
        <w:numPr>
          <w:ilvl w:val="0"/>
          <w:numId w:val="3"/>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P</w:t>
      </w:r>
      <w:r w:rsidR="008D0374" w:rsidRPr="00790646">
        <w:rPr>
          <w:rFonts w:ascii="Times New Roman" w:hAnsi="Times New Roman" w:cs="Times New Roman"/>
          <w:sz w:val="23"/>
          <w:szCs w:val="23"/>
        </w:rPr>
        <w:t xml:space="preserve">rimary suppliers and </w:t>
      </w:r>
    </w:p>
    <w:p w14:paraId="0C64E618" w14:textId="5BB054E2" w:rsidR="008D0374" w:rsidRPr="00790646" w:rsidRDefault="00027A3E" w:rsidP="00D16B3D">
      <w:pPr>
        <w:numPr>
          <w:ilvl w:val="0"/>
          <w:numId w:val="3"/>
        </w:numPr>
        <w:spacing w:after="0" w:line="240" w:lineRule="auto"/>
        <w:jc w:val="both"/>
        <w:rPr>
          <w:rFonts w:ascii="Times New Roman" w:hAnsi="Times New Roman" w:cs="Times New Roman"/>
          <w:sz w:val="23"/>
          <w:szCs w:val="23"/>
        </w:rPr>
      </w:pPr>
      <w:r w:rsidRPr="00790646">
        <w:rPr>
          <w:rFonts w:ascii="Times New Roman" w:hAnsi="Times New Roman" w:cs="Times New Roman"/>
          <w:sz w:val="23"/>
          <w:szCs w:val="23"/>
        </w:rPr>
        <w:t>C</w:t>
      </w:r>
      <w:r w:rsidR="008D0374" w:rsidRPr="00790646">
        <w:rPr>
          <w:rFonts w:ascii="Times New Roman" w:hAnsi="Times New Roman" w:cs="Times New Roman"/>
          <w:sz w:val="23"/>
          <w:szCs w:val="23"/>
        </w:rPr>
        <w:t xml:space="preserve">ommunity workers. </w:t>
      </w:r>
    </w:p>
    <w:p w14:paraId="34B51F9C" w14:textId="77777777" w:rsidR="00864129" w:rsidRPr="00D16B3D" w:rsidRDefault="00864129" w:rsidP="00D16B3D">
      <w:pPr>
        <w:spacing w:after="0" w:line="240" w:lineRule="auto"/>
        <w:jc w:val="both"/>
        <w:rPr>
          <w:rFonts w:ascii="Times New Roman" w:hAnsi="Times New Roman" w:cs="Times New Roman"/>
          <w:sz w:val="23"/>
          <w:szCs w:val="23"/>
        </w:rPr>
      </w:pPr>
    </w:p>
    <w:p w14:paraId="186A833E" w14:textId="77777777" w:rsidR="00FA1861" w:rsidRDefault="00FA1861" w:rsidP="00D16B3D">
      <w:pPr>
        <w:spacing w:after="0" w:line="240" w:lineRule="auto"/>
        <w:jc w:val="both"/>
        <w:rPr>
          <w:rFonts w:ascii="Times New Roman" w:hAnsi="Times New Roman" w:cs="Times New Roman"/>
          <w:sz w:val="23"/>
          <w:szCs w:val="23"/>
        </w:rPr>
      </w:pPr>
    </w:p>
    <w:p w14:paraId="44ADC94A" w14:textId="77777777" w:rsidR="00FA1861" w:rsidRDefault="00FA1861" w:rsidP="00D16B3D">
      <w:pPr>
        <w:spacing w:after="0" w:line="240" w:lineRule="auto"/>
        <w:jc w:val="both"/>
        <w:rPr>
          <w:rFonts w:ascii="Times New Roman" w:hAnsi="Times New Roman" w:cs="Times New Roman"/>
          <w:sz w:val="23"/>
          <w:szCs w:val="23"/>
        </w:rPr>
      </w:pPr>
    </w:p>
    <w:p w14:paraId="17DB9E7B" w14:textId="4939ACFA" w:rsidR="00E40716" w:rsidRPr="00D16B3D" w:rsidRDefault="00990AAB" w:rsidP="00D16B3D">
      <w:p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ICTA has an existing Sexual and Gender</w:t>
      </w:r>
      <w:r w:rsidR="0095507D" w:rsidRPr="00D16B3D">
        <w:rPr>
          <w:rFonts w:ascii="Times New Roman" w:hAnsi="Times New Roman" w:cs="Times New Roman"/>
          <w:sz w:val="23"/>
          <w:szCs w:val="23"/>
        </w:rPr>
        <w:t>-</w:t>
      </w:r>
      <w:r w:rsidRPr="00D16B3D">
        <w:rPr>
          <w:rFonts w:ascii="Times New Roman" w:hAnsi="Times New Roman" w:cs="Times New Roman"/>
          <w:sz w:val="23"/>
          <w:szCs w:val="23"/>
        </w:rPr>
        <w:t xml:space="preserve">Based Violence </w:t>
      </w:r>
      <w:r w:rsidR="00D16B3D">
        <w:rPr>
          <w:rFonts w:ascii="Times New Roman" w:hAnsi="Times New Roman" w:cs="Times New Roman"/>
          <w:sz w:val="23"/>
          <w:szCs w:val="23"/>
        </w:rPr>
        <w:t xml:space="preserve">(SGBV) </w:t>
      </w:r>
      <w:r w:rsidRPr="00D16B3D">
        <w:rPr>
          <w:rFonts w:ascii="Times New Roman" w:hAnsi="Times New Roman" w:cs="Times New Roman"/>
          <w:sz w:val="23"/>
          <w:szCs w:val="23"/>
        </w:rPr>
        <w:t>Policy. The project’s</w:t>
      </w:r>
      <w:r w:rsidR="00B676FA" w:rsidRPr="00D16B3D">
        <w:rPr>
          <w:rFonts w:ascii="Times New Roman" w:hAnsi="Times New Roman" w:cs="Times New Roman"/>
          <w:sz w:val="23"/>
          <w:szCs w:val="23"/>
        </w:rPr>
        <w:t xml:space="preserve"> </w:t>
      </w:r>
      <w:r w:rsidR="00D16B3D" w:rsidRPr="00D16B3D">
        <w:rPr>
          <w:rFonts w:ascii="Times New Roman" w:hAnsi="Times New Roman" w:cs="Times New Roman"/>
          <w:sz w:val="23"/>
          <w:szCs w:val="23"/>
        </w:rPr>
        <w:t xml:space="preserve">SEA/SH Prevention and Response Action Plan </w:t>
      </w:r>
      <w:r w:rsidRPr="00D16B3D">
        <w:rPr>
          <w:rFonts w:ascii="Times New Roman" w:hAnsi="Times New Roman" w:cs="Times New Roman"/>
          <w:sz w:val="23"/>
          <w:szCs w:val="23"/>
        </w:rPr>
        <w:t>will be in line with the SG</w:t>
      </w:r>
      <w:r w:rsidR="00BD4639" w:rsidRPr="00D16B3D">
        <w:rPr>
          <w:rFonts w:ascii="Times New Roman" w:hAnsi="Times New Roman" w:cs="Times New Roman"/>
          <w:sz w:val="23"/>
          <w:szCs w:val="23"/>
        </w:rPr>
        <w:t xml:space="preserve">BV Policy of ICTA and </w:t>
      </w:r>
      <w:r w:rsidR="00E40716" w:rsidRPr="00D16B3D">
        <w:rPr>
          <w:rFonts w:ascii="Times New Roman" w:hAnsi="Times New Roman" w:cs="Times New Roman"/>
          <w:sz w:val="23"/>
          <w:szCs w:val="23"/>
        </w:rPr>
        <w:t>will apply to project workers including those in the PIU, supporting civil servants, consultants,</w:t>
      </w:r>
      <w:r w:rsidR="004326C1" w:rsidRPr="00D16B3D">
        <w:rPr>
          <w:rFonts w:ascii="Times New Roman" w:hAnsi="Times New Roman" w:cs="Times New Roman"/>
          <w:sz w:val="23"/>
          <w:szCs w:val="23"/>
        </w:rPr>
        <w:t xml:space="preserve"> contractors, primary suppliers, community workers,</w:t>
      </w:r>
      <w:r w:rsidR="00E40716" w:rsidRPr="00D16B3D">
        <w:rPr>
          <w:rFonts w:ascii="Times New Roman" w:hAnsi="Times New Roman" w:cs="Times New Roman"/>
          <w:sz w:val="23"/>
          <w:szCs w:val="23"/>
        </w:rPr>
        <w:t xml:space="preserve"> whether those be full</w:t>
      </w:r>
      <w:r w:rsidR="0095507D" w:rsidRPr="00D16B3D">
        <w:rPr>
          <w:rFonts w:ascii="Times New Roman" w:hAnsi="Times New Roman" w:cs="Times New Roman"/>
          <w:sz w:val="23"/>
          <w:szCs w:val="23"/>
        </w:rPr>
        <w:t>-</w:t>
      </w:r>
      <w:r w:rsidR="00E40716" w:rsidRPr="00D16B3D">
        <w:rPr>
          <w:rFonts w:ascii="Times New Roman" w:hAnsi="Times New Roman" w:cs="Times New Roman"/>
          <w:sz w:val="23"/>
          <w:szCs w:val="23"/>
        </w:rPr>
        <w:t>time, part-time, temporary and seasonal. The project scope does not provide or anticipate</w:t>
      </w:r>
      <w:r w:rsidR="00D05649">
        <w:rPr>
          <w:rFonts w:ascii="Times New Roman" w:hAnsi="Times New Roman" w:cs="Times New Roman"/>
          <w:sz w:val="23"/>
          <w:szCs w:val="23"/>
        </w:rPr>
        <w:t xml:space="preserve"> labor influx and</w:t>
      </w:r>
      <w:r w:rsidR="00E40716" w:rsidRPr="00D16B3D">
        <w:rPr>
          <w:rFonts w:ascii="Times New Roman" w:hAnsi="Times New Roman" w:cs="Times New Roman"/>
          <w:sz w:val="23"/>
          <w:szCs w:val="23"/>
        </w:rPr>
        <w:t xml:space="preserve"> the employment of migrant workers. Although international and local consultants may be recruited to offer specific services, their conditions of engagement will be as contained in their contracts and TORs.</w:t>
      </w:r>
    </w:p>
    <w:p w14:paraId="2C0AE2CD" w14:textId="38ABADE3" w:rsidR="0000255F" w:rsidRPr="00D16B3D" w:rsidRDefault="0000255F" w:rsidP="00D16B3D">
      <w:pPr>
        <w:spacing w:after="0" w:line="240" w:lineRule="auto"/>
        <w:jc w:val="both"/>
        <w:rPr>
          <w:rFonts w:ascii="Times New Roman" w:hAnsi="Times New Roman" w:cs="Times New Roman"/>
          <w:sz w:val="23"/>
          <w:szCs w:val="23"/>
        </w:rPr>
      </w:pPr>
    </w:p>
    <w:p w14:paraId="5F5B890F" w14:textId="60954369" w:rsidR="00E40716" w:rsidRPr="00D16B3D" w:rsidRDefault="00E40716" w:rsidP="00D16B3D">
      <w:p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 xml:space="preserve">There are several concerns </w:t>
      </w:r>
      <w:r w:rsidR="0095507D" w:rsidRPr="00D16B3D">
        <w:rPr>
          <w:rFonts w:ascii="Times New Roman" w:hAnsi="Times New Roman" w:cs="Times New Roman"/>
          <w:sz w:val="23"/>
          <w:szCs w:val="23"/>
        </w:rPr>
        <w:t>about</w:t>
      </w:r>
      <w:r w:rsidRPr="00D16B3D">
        <w:rPr>
          <w:rFonts w:ascii="Times New Roman" w:hAnsi="Times New Roman" w:cs="Times New Roman"/>
          <w:sz w:val="23"/>
          <w:szCs w:val="23"/>
        </w:rPr>
        <w:t xml:space="preserve"> the potential for</w:t>
      </w:r>
      <w:r w:rsidR="00D16B3D">
        <w:rPr>
          <w:rFonts w:ascii="Times New Roman" w:hAnsi="Times New Roman" w:cs="Times New Roman"/>
          <w:sz w:val="23"/>
          <w:szCs w:val="23"/>
        </w:rPr>
        <w:t xml:space="preserve"> </w:t>
      </w:r>
      <w:r w:rsidR="00C576DC" w:rsidRPr="00D16B3D">
        <w:rPr>
          <w:rFonts w:ascii="Times New Roman" w:hAnsi="Times New Roman" w:cs="Times New Roman"/>
          <w:sz w:val="23"/>
          <w:szCs w:val="23"/>
        </w:rPr>
        <w:t>SEA/SH</w:t>
      </w:r>
      <w:r w:rsidR="00D16B3D">
        <w:rPr>
          <w:rFonts w:ascii="Times New Roman" w:hAnsi="Times New Roman" w:cs="Times New Roman"/>
          <w:sz w:val="23"/>
          <w:szCs w:val="23"/>
        </w:rPr>
        <w:t xml:space="preserve"> risks</w:t>
      </w:r>
      <w:r w:rsidR="00844261" w:rsidRPr="00D16B3D">
        <w:rPr>
          <w:rFonts w:ascii="Times New Roman" w:hAnsi="Times New Roman" w:cs="Times New Roman"/>
          <w:sz w:val="23"/>
          <w:szCs w:val="23"/>
        </w:rPr>
        <w:t>:</w:t>
      </w:r>
      <w:r w:rsidRPr="00D16B3D">
        <w:rPr>
          <w:rFonts w:ascii="Times New Roman" w:hAnsi="Times New Roman" w:cs="Times New Roman"/>
          <w:sz w:val="23"/>
          <w:szCs w:val="23"/>
        </w:rPr>
        <w:t xml:space="preserve"> These include:</w:t>
      </w:r>
    </w:p>
    <w:p w14:paraId="1A7B2F5B" w14:textId="77777777" w:rsidR="0000255F" w:rsidRPr="00D16B3D" w:rsidRDefault="0000255F" w:rsidP="00D16B3D">
      <w:pPr>
        <w:spacing w:after="0" w:line="240" w:lineRule="auto"/>
        <w:jc w:val="both"/>
        <w:rPr>
          <w:rFonts w:ascii="Times New Roman" w:hAnsi="Times New Roman" w:cs="Times New Roman"/>
          <w:sz w:val="23"/>
          <w:szCs w:val="23"/>
        </w:rPr>
      </w:pPr>
    </w:p>
    <w:p w14:paraId="55A5DD03" w14:textId="0790DEE5" w:rsidR="00E40716" w:rsidRPr="00D16B3D" w:rsidRDefault="00E40716" w:rsidP="00971226">
      <w:pPr>
        <w:numPr>
          <w:ilvl w:val="0"/>
          <w:numId w:val="7"/>
        </w:num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 xml:space="preserve">increased risk of abuse and exploitation for vulnerable women in the </w:t>
      </w:r>
      <w:r w:rsidR="006D2303" w:rsidRPr="00D16B3D">
        <w:rPr>
          <w:rFonts w:ascii="Times New Roman" w:hAnsi="Times New Roman" w:cs="Times New Roman"/>
          <w:sz w:val="23"/>
          <w:szCs w:val="23"/>
        </w:rPr>
        <w:t>workplace.</w:t>
      </w:r>
    </w:p>
    <w:p w14:paraId="571CB0C1" w14:textId="607882CF" w:rsidR="00E40716" w:rsidRPr="00D16B3D" w:rsidRDefault="00E40716" w:rsidP="00971226">
      <w:pPr>
        <w:numPr>
          <w:ilvl w:val="0"/>
          <w:numId w:val="7"/>
        </w:num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 xml:space="preserve"> increased risk of sexual exploitation and harassment in the context of project resources and </w:t>
      </w:r>
      <w:r w:rsidR="006D2303" w:rsidRPr="00D16B3D">
        <w:rPr>
          <w:rFonts w:ascii="Times New Roman" w:hAnsi="Times New Roman" w:cs="Times New Roman"/>
          <w:sz w:val="23"/>
          <w:szCs w:val="23"/>
        </w:rPr>
        <w:t>opportunities.</w:t>
      </w:r>
    </w:p>
    <w:p w14:paraId="02B5AED7" w14:textId="60D40C0B" w:rsidR="00E40716" w:rsidRPr="00D16B3D" w:rsidRDefault="00E40716" w:rsidP="00971226">
      <w:pPr>
        <w:numPr>
          <w:ilvl w:val="0"/>
          <w:numId w:val="7"/>
        </w:num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 xml:space="preserve">Other abuses may occur at </w:t>
      </w:r>
      <w:r w:rsidR="0095507D" w:rsidRPr="00D16B3D">
        <w:rPr>
          <w:rFonts w:ascii="Times New Roman" w:hAnsi="Times New Roman" w:cs="Times New Roman"/>
          <w:sz w:val="23"/>
          <w:szCs w:val="23"/>
        </w:rPr>
        <w:t xml:space="preserve">the </w:t>
      </w:r>
      <w:r w:rsidR="007D67E1" w:rsidRPr="00D16B3D">
        <w:rPr>
          <w:rFonts w:ascii="Times New Roman" w:hAnsi="Times New Roman" w:cs="Times New Roman"/>
          <w:sz w:val="23"/>
          <w:szCs w:val="23"/>
        </w:rPr>
        <w:t xml:space="preserve">project workers </w:t>
      </w:r>
      <w:r w:rsidRPr="00D16B3D">
        <w:rPr>
          <w:rFonts w:ascii="Times New Roman" w:hAnsi="Times New Roman" w:cs="Times New Roman"/>
          <w:sz w:val="23"/>
          <w:szCs w:val="23"/>
        </w:rPr>
        <w:t xml:space="preserve">interface where vulnerable </w:t>
      </w:r>
      <w:r w:rsidR="006D2303" w:rsidRPr="00D16B3D">
        <w:rPr>
          <w:rFonts w:ascii="Times New Roman" w:hAnsi="Times New Roman" w:cs="Times New Roman"/>
          <w:sz w:val="23"/>
          <w:szCs w:val="23"/>
        </w:rPr>
        <w:t>women.</w:t>
      </w:r>
    </w:p>
    <w:p w14:paraId="2CB8BDB9" w14:textId="77777777" w:rsidR="0000255F" w:rsidRPr="00D16B3D" w:rsidRDefault="0000255F" w:rsidP="00D16B3D">
      <w:pPr>
        <w:spacing w:after="0" w:line="240" w:lineRule="auto"/>
        <w:jc w:val="both"/>
        <w:rPr>
          <w:rFonts w:ascii="Times New Roman" w:hAnsi="Times New Roman" w:cs="Times New Roman"/>
          <w:sz w:val="23"/>
          <w:szCs w:val="23"/>
        </w:rPr>
      </w:pPr>
    </w:p>
    <w:p w14:paraId="20423449" w14:textId="77777777" w:rsidR="006D2303" w:rsidRDefault="00E40716" w:rsidP="00D16B3D">
      <w:p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t xml:space="preserve">This </w:t>
      </w:r>
      <w:r w:rsidR="00D05649" w:rsidRPr="00D16B3D">
        <w:rPr>
          <w:rFonts w:ascii="Times New Roman" w:hAnsi="Times New Roman" w:cs="Times New Roman"/>
          <w:sz w:val="23"/>
          <w:szCs w:val="23"/>
        </w:rPr>
        <w:t xml:space="preserve">SEA/SH Prevention and Response Action Plan </w:t>
      </w:r>
      <w:r w:rsidRPr="00D16B3D">
        <w:rPr>
          <w:rFonts w:ascii="Times New Roman" w:hAnsi="Times New Roman" w:cs="Times New Roman"/>
          <w:sz w:val="23"/>
          <w:szCs w:val="23"/>
        </w:rPr>
        <w:t xml:space="preserve">will cover the first two types of </w:t>
      </w:r>
      <w:r w:rsidR="00670C5E">
        <w:rPr>
          <w:rFonts w:ascii="Times New Roman" w:hAnsi="Times New Roman" w:cs="Times New Roman"/>
          <w:sz w:val="23"/>
          <w:szCs w:val="23"/>
        </w:rPr>
        <w:t>SEA/SH.</w:t>
      </w:r>
      <w:r w:rsidRPr="00D16B3D">
        <w:rPr>
          <w:rFonts w:ascii="Times New Roman" w:hAnsi="Times New Roman" w:cs="Times New Roman"/>
          <w:sz w:val="23"/>
          <w:szCs w:val="23"/>
        </w:rPr>
        <w:t xml:space="preserve"> Therefore, the SEA/SH action plan is prepared in line with the protocol laid out in the WB SEA/SH Good Practice Note, </w:t>
      </w:r>
      <w:r w:rsidR="007728B7" w:rsidRPr="00D16B3D">
        <w:rPr>
          <w:rFonts w:ascii="Times New Roman" w:hAnsi="Times New Roman" w:cs="Times New Roman"/>
          <w:sz w:val="23"/>
          <w:szCs w:val="23"/>
        </w:rPr>
        <w:t>ICTA’s Sexual and Gender</w:t>
      </w:r>
      <w:r w:rsidR="0095507D" w:rsidRPr="00D16B3D">
        <w:rPr>
          <w:rFonts w:ascii="Times New Roman" w:hAnsi="Times New Roman" w:cs="Times New Roman"/>
          <w:sz w:val="23"/>
          <w:szCs w:val="23"/>
        </w:rPr>
        <w:t>-</w:t>
      </w:r>
      <w:r w:rsidR="007728B7" w:rsidRPr="00D16B3D">
        <w:rPr>
          <w:rFonts w:ascii="Times New Roman" w:hAnsi="Times New Roman" w:cs="Times New Roman"/>
          <w:sz w:val="23"/>
          <w:szCs w:val="23"/>
        </w:rPr>
        <w:t xml:space="preserve">Based Violence Policy </w:t>
      </w:r>
      <w:r w:rsidRPr="00D16B3D">
        <w:rPr>
          <w:rFonts w:ascii="Times New Roman" w:hAnsi="Times New Roman" w:cs="Times New Roman"/>
          <w:sz w:val="23"/>
          <w:szCs w:val="23"/>
        </w:rPr>
        <w:t xml:space="preserve">and the government of Kenya policies. The </w:t>
      </w:r>
      <w:r w:rsidR="00670C5E" w:rsidRPr="00D16B3D">
        <w:rPr>
          <w:rFonts w:ascii="Times New Roman" w:hAnsi="Times New Roman" w:cs="Times New Roman"/>
          <w:sz w:val="23"/>
          <w:szCs w:val="23"/>
        </w:rPr>
        <w:t xml:space="preserve">SEA/SH Prevention and Response Action Plan </w:t>
      </w:r>
      <w:r w:rsidRPr="00D16B3D">
        <w:rPr>
          <w:rFonts w:ascii="Times New Roman" w:hAnsi="Times New Roman" w:cs="Times New Roman"/>
          <w:sz w:val="23"/>
          <w:szCs w:val="23"/>
        </w:rPr>
        <w:t>details the operational measures that will be put in place to prevent and respond to project</w:t>
      </w:r>
      <w:r w:rsidR="0095507D" w:rsidRPr="00D16B3D">
        <w:rPr>
          <w:rFonts w:ascii="Times New Roman" w:hAnsi="Times New Roman" w:cs="Times New Roman"/>
          <w:sz w:val="23"/>
          <w:szCs w:val="23"/>
        </w:rPr>
        <w:t>-</w:t>
      </w:r>
      <w:r w:rsidRPr="00D16B3D">
        <w:rPr>
          <w:rFonts w:ascii="Times New Roman" w:hAnsi="Times New Roman" w:cs="Times New Roman"/>
          <w:sz w:val="23"/>
          <w:szCs w:val="23"/>
        </w:rPr>
        <w:t xml:space="preserve">related </w:t>
      </w:r>
      <w:r w:rsidR="00B676FA" w:rsidRPr="00D16B3D">
        <w:rPr>
          <w:rFonts w:ascii="Times New Roman" w:hAnsi="Times New Roman" w:cs="Times New Roman"/>
          <w:sz w:val="23"/>
          <w:szCs w:val="23"/>
        </w:rPr>
        <w:t>SEA/SH</w:t>
      </w:r>
      <w:r w:rsidRPr="00D16B3D">
        <w:rPr>
          <w:rFonts w:ascii="Times New Roman" w:hAnsi="Times New Roman" w:cs="Times New Roman"/>
          <w:sz w:val="23"/>
          <w:szCs w:val="23"/>
        </w:rPr>
        <w:t xml:space="preserve"> including managing related grievances. It incorporates codes of conduct for project workers and other strategies to prevent risks of </w:t>
      </w:r>
      <w:r w:rsidR="00B676FA" w:rsidRPr="00D16B3D">
        <w:rPr>
          <w:rFonts w:ascii="Times New Roman" w:hAnsi="Times New Roman" w:cs="Times New Roman"/>
          <w:sz w:val="23"/>
          <w:szCs w:val="23"/>
        </w:rPr>
        <w:t>SEA/SH</w:t>
      </w:r>
      <w:r w:rsidRPr="00D16B3D">
        <w:rPr>
          <w:rFonts w:ascii="Times New Roman" w:hAnsi="Times New Roman" w:cs="Times New Roman"/>
          <w:sz w:val="23"/>
          <w:szCs w:val="23"/>
        </w:rPr>
        <w:t xml:space="preserve"> from occurring and establishes procedures for managing related grievances. The project should allocate </w:t>
      </w:r>
      <w:r w:rsidR="004D7A21" w:rsidRPr="00D16B3D">
        <w:rPr>
          <w:rFonts w:ascii="Times New Roman" w:hAnsi="Times New Roman" w:cs="Times New Roman"/>
          <w:sz w:val="23"/>
          <w:szCs w:val="23"/>
        </w:rPr>
        <w:t xml:space="preserve">an </w:t>
      </w:r>
      <w:r w:rsidRPr="00D16B3D">
        <w:rPr>
          <w:rFonts w:ascii="Times New Roman" w:hAnsi="Times New Roman" w:cs="Times New Roman"/>
          <w:sz w:val="23"/>
          <w:szCs w:val="23"/>
        </w:rPr>
        <w:t xml:space="preserve">appropriate budget to implement the </w:t>
      </w:r>
      <w:r w:rsidR="00670C5E" w:rsidRPr="00D16B3D">
        <w:rPr>
          <w:rFonts w:ascii="Times New Roman" w:hAnsi="Times New Roman" w:cs="Times New Roman"/>
          <w:sz w:val="23"/>
          <w:szCs w:val="23"/>
        </w:rPr>
        <w:t xml:space="preserve">SEA/SH Prevention and Response Action Plan </w:t>
      </w:r>
      <w:r w:rsidRPr="00D16B3D">
        <w:rPr>
          <w:rFonts w:ascii="Times New Roman" w:hAnsi="Times New Roman" w:cs="Times New Roman"/>
          <w:sz w:val="23"/>
          <w:szCs w:val="23"/>
        </w:rPr>
        <w:t xml:space="preserve">and assign </w:t>
      </w:r>
      <w:r w:rsidR="00C60AA9">
        <w:rPr>
          <w:rFonts w:ascii="Times New Roman" w:hAnsi="Times New Roman" w:cs="Times New Roman"/>
          <w:sz w:val="23"/>
          <w:szCs w:val="23"/>
        </w:rPr>
        <w:t xml:space="preserve">a </w:t>
      </w:r>
      <w:r w:rsidR="00124404" w:rsidRPr="00D16B3D">
        <w:rPr>
          <w:rFonts w:ascii="Times New Roman" w:hAnsi="Times New Roman" w:cs="Times New Roman"/>
          <w:sz w:val="23"/>
          <w:szCs w:val="23"/>
        </w:rPr>
        <w:t>GBV</w:t>
      </w:r>
      <w:r w:rsidRPr="00D16B3D">
        <w:rPr>
          <w:rFonts w:ascii="Times New Roman" w:hAnsi="Times New Roman" w:cs="Times New Roman"/>
          <w:sz w:val="23"/>
          <w:szCs w:val="23"/>
        </w:rPr>
        <w:t xml:space="preserve"> focal person to oversee the implementation of activities. For its implementation, allocating an appropriate budget is required.</w:t>
      </w:r>
    </w:p>
    <w:p w14:paraId="679D71DC" w14:textId="77777777" w:rsidR="00B458BA" w:rsidRDefault="00B458BA" w:rsidP="00B458BA">
      <w:pPr>
        <w:spacing w:after="0" w:line="240" w:lineRule="auto"/>
        <w:jc w:val="both"/>
        <w:rPr>
          <w:rFonts w:ascii="Times New Roman" w:hAnsi="Times New Roman" w:cs="Times New Roman"/>
          <w:sz w:val="23"/>
          <w:szCs w:val="23"/>
        </w:rPr>
      </w:pPr>
    </w:p>
    <w:p w14:paraId="1E25F29F" w14:textId="77777777" w:rsidR="00B458BA" w:rsidRPr="00203F3A" w:rsidRDefault="00B458BA" w:rsidP="00B458BA">
      <w:pPr>
        <w:pStyle w:val="Heading2"/>
        <w:ind w:left="900" w:hanging="900"/>
        <w:rPr>
          <w:sz w:val="23"/>
          <w:szCs w:val="23"/>
        </w:rPr>
      </w:pPr>
      <w:bookmarkStart w:id="16" w:name="_Toc141127691"/>
      <w:r>
        <w:rPr>
          <w:sz w:val="23"/>
          <w:szCs w:val="23"/>
        </w:rPr>
        <w:t>SEA/SH Screening</w:t>
      </w:r>
      <w:bookmarkEnd w:id="16"/>
    </w:p>
    <w:p w14:paraId="30D96E3E" w14:textId="77777777" w:rsidR="00B458BA" w:rsidRDefault="00B458BA" w:rsidP="00B458BA">
      <w:pPr>
        <w:spacing w:after="0" w:line="240" w:lineRule="auto"/>
        <w:jc w:val="both"/>
        <w:rPr>
          <w:rFonts w:ascii="Times New Roman" w:hAnsi="Times New Roman" w:cs="Times New Roman"/>
          <w:sz w:val="23"/>
          <w:szCs w:val="23"/>
        </w:rPr>
      </w:pPr>
    </w:p>
    <w:p w14:paraId="20670802" w14:textId="59D1D4D2" w:rsidR="00B458BA" w:rsidRDefault="00B458BA" w:rsidP="00B458B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summary of the SEA/</w:t>
      </w:r>
      <w:r w:rsidR="005B27D8">
        <w:rPr>
          <w:rFonts w:ascii="Times New Roman" w:hAnsi="Times New Roman" w:cs="Times New Roman"/>
          <w:sz w:val="23"/>
          <w:szCs w:val="23"/>
        </w:rPr>
        <w:t xml:space="preserve">SH </w:t>
      </w:r>
    </w:p>
    <w:p w14:paraId="6E858B2D" w14:textId="77777777" w:rsidR="005B27D8" w:rsidRDefault="005B27D8" w:rsidP="00B458BA">
      <w:pPr>
        <w:spacing w:after="0" w:line="240" w:lineRule="auto"/>
        <w:jc w:val="both"/>
        <w:rPr>
          <w:rFonts w:ascii="Times New Roman" w:hAnsi="Times New Roman" w:cs="Times New Roman"/>
          <w:sz w:val="23"/>
          <w:szCs w:val="23"/>
        </w:rPr>
      </w:pPr>
    </w:p>
    <w:tbl>
      <w:tblPr>
        <w:tblW w:w="495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216"/>
        <w:gridCol w:w="1239"/>
        <w:gridCol w:w="4905"/>
      </w:tblGrid>
      <w:tr w:rsidR="00B458BA" w:rsidRPr="00200BCF" w14:paraId="5283A12C" w14:textId="77777777" w:rsidTr="004527A7">
        <w:trPr>
          <w:trHeight w:val="360"/>
          <w:tblHeader/>
          <w:jc w:val="right"/>
        </w:trPr>
        <w:tc>
          <w:tcPr>
            <w:tcW w:w="886" w:type="pct"/>
            <w:shd w:val="clear" w:color="auto" w:fill="8EAADB" w:themeFill="accent1" w:themeFillTint="99"/>
          </w:tcPr>
          <w:p w14:paraId="2BAAF325" w14:textId="77777777" w:rsidR="00B458BA" w:rsidRPr="00200BCF" w:rsidRDefault="00B458BA" w:rsidP="004527A7">
            <w:pPr>
              <w:spacing w:line="276" w:lineRule="auto"/>
              <w:jc w:val="center"/>
              <w:rPr>
                <w:rFonts w:ascii="Times New Roman" w:hAnsi="Times New Roman" w:cs="Times New Roman"/>
                <w:b/>
                <w:bCs/>
                <w:sz w:val="23"/>
                <w:szCs w:val="23"/>
                <w:lang w:val="en-GB"/>
              </w:rPr>
            </w:pPr>
            <w:r w:rsidRPr="00200BCF">
              <w:rPr>
                <w:rFonts w:ascii="Times New Roman" w:hAnsi="Times New Roman" w:cs="Times New Roman"/>
                <w:b/>
                <w:bCs/>
                <w:sz w:val="23"/>
                <w:szCs w:val="23"/>
                <w:lang w:val="en-GB"/>
              </w:rPr>
              <w:t>Project Context</w:t>
            </w:r>
          </w:p>
        </w:tc>
        <w:tc>
          <w:tcPr>
            <w:tcW w:w="687" w:type="pct"/>
            <w:shd w:val="clear" w:color="auto" w:fill="8EAADB" w:themeFill="accent1" w:themeFillTint="99"/>
            <w:hideMark/>
          </w:tcPr>
          <w:p w14:paraId="583E91AE" w14:textId="77777777" w:rsidR="00B458BA" w:rsidRPr="00200BCF" w:rsidRDefault="00B458BA" w:rsidP="004527A7">
            <w:pPr>
              <w:spacing w:line="276" w:lineRule="auto"/>
              <w:jc w:val="center"/>
              <w:rPr>
                <w:rFonts w:ascii="Times New Roman" w:hAnsi="Times New Roman" w:cs="Times New Roman"/>
                <w:b/>
                <w:bCs/>
                <w:sz w:val="23"/>
                <w:szCs w:val="23"/>
                <w:lang w:val="en-GB"/>
              </w:rPr>
            </w:pPr>
            <w:r w:rsidRPr="00200BCF">
              <w:rPr>
                <w:rFonts w:ascii="Times New Roman" w:hAnsi="Times New Roman" w:cs="Times New Roman"/>
                <w:b/>
                <w:bCs/>
                <w:sz w:val="23"/>
                <w:szCs w:val="23"/>
                <w:lang w:val="en-GB"/>
              </w:rPr>
              <w:t>Response</w:t>
            </w:r>
          </w:p>
        </w:tc>
        <w:tc>
          <w:tcPr>
            <w:tcW w:w="675" w:type="pct"/>
            <w:shd w:val="clear" w:color="auto" w:fill="8EAADB" w:themeFill="accent1" w:themeFillTint="99"/>
            <w:hideMark/>
          </w:tcPr>
          <w:p w14:paraId="7367A5BC" w14:textId="77777777" w:rsidR="00B458BA" w:rsidRPr="00200BCF" w:rsidRDefault="00B458BA" w:rsidP="004527A7">
            <w:pPr>
              <w:spacing w:line="276" w:lineRule="auto"/>
              <w:jc w:val="center"/>
              <w:rPr>
                <w:rFonts w:ascii="Times New Roman" w:hAnsi="Times New Roman" w:cs="Times New Roman"/>
                <w:b/>
                <w:bCs/>
                <w:sz w:val="23"/>
                <w:szCs w:val="23"/>
                <w:lang w:val="en-GB"/>
              </w:rPr>
            </w:pPr>
            <w:r w:rsidRPr="00200BCF">
              <w:rPr>
                <w:rFonts w:ascii="Times New Roman" w:hAnsi="Times New Roman" w:cs="Times New Roman"/>
                <w:b/>
                <w:bCs/>
                <w:sz w:val="23"/>
                <w:szCs w:val="23"/>
                <w:lang w:val="en-GB"/>
              </w:rPr>
              <w:t>Risk Rating</w:t>
            </w:r>
          </w:p>
        </w:tc>
        <w:tc>
          <w:tcPr>
            <w:tcW w:w="2752" w:type="pct"/>
            <w:shd w:val="clear" w:color="auto" w:fill="8EAADB" w:themeFill="accent1" w:themeFillTint="99"/>
          </w:tcPr>
          <w:p w14:paraId="6A4E2238" w14:textId="77777777" w:rsidR="00B458BA" w:rsidRPr="00200BCF" w:rsidRDefault="00B458BA" w:rsidP="004527A7">
            <w:pPr>
              <w:spacing w:line="276" w:lineRule="auto"/>
              <w:jc w:val="center"/>
              <w:rPr>
                <w:rFonts w:ascii="Times New Roman" w:hAnsi="Times New Roman" w:cs="Times New Roman"/>
                <w:b/>
                <w:bCs/>
                <w:sz w:val="23"/>
                <w:szCs w:val="23"/>
                <w:lang w:val="en-GB"/>
              </w:rPr>
            </w:pPr>
            <w:r w:rsidRPr="00200BCF">
              <w:rPr>
                <w:rFonts w:ascii="Times New Roman" w:hAnsi="Times New Roman" w:cs="Times New Roman"/>
                <w:b/>
                <w:bCs/>
                <w:sz w:val="23"/>
                <w:szCs w:val="23"/>
                <w:lang w:val="en-GB"/>
              </w:rPr>
              <w:t>Comment</w:t>
            </w:r>
          </w:p>
        </w:tc>
      </w:tr>
      <w:tr w:rsidR="00B458BA" w:rsidRPr="00200BCF" w14:paraId="33D3B95E" w14:textId="77777777" w:rsidTr="004527A7">
        <w:trPr>
          <w:trHeight w:val="674"/>
          <w:jc w:val="right"/>
        </w:trPr>
        <w:tc>
          <w:tcPr>
            <w:tcW w:w="886" w:type="pct"/>
          </w:tcPr>
          <w:p w14:paraId="1ECB053B" w14:textId="77777777"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lang w:val="en-GB"/>
              </w:rPr>
              <w:t xml:space="preserve">Is project in an area with active emergency or humanitarian situation? </w:t>
            </w:r>
          </w:p>
        </w:tc>
        <w:tc>
          <w:tcPr>
            <w:tcW w:w="687" w:type="pct"/>
            <w:shd w:val="clear" w:color="auto" w:fill="FFF2CC"/>
            <w:vAlign w:val="center"/>
            <w:hideMark/>
          </w:tcPr>
          <w:p w14:paraId="6D945FA7"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Yes</w:t>
            </w:r>
          </w:p>
        </w:tc>
        <w:tc>
          <w:tcPr>
            <w:tcW w:w="675" w:type="pct"/>
            <w:shd w:val="clear" w:color="auto" w:fill="FA72B6"/>
            <w:vAlign w:val="center"/>
            <w:hideMark/>
          </w:tcPr>
          <w:p w14:paraId="702684D9"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Moderate Risk</w:t>
            </w:r>
          </w:p>
        </w:tc>
        <w:tc>
          <w:tcPr>
            <w:tcW w:w="2752" w:type="pct"/>
            <w:shd w:val="clear" w:color="auto" w:fill="auto"/>
          </w:tcPr>
          <w:p w14:paraId="10C36A5A" w14:textId="3FE7B1DA"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The project will be implemented in all the 47 counties of Kenya. About six of these counties of Turkana, Wajir, </w:t>
            </w:r>
            <w:proofErr w:type="spellStart"/>
            <w:r w:rsidRPr="00200BCF">
              <w:rPr>
                <w:rFonts w:ascii="Times New Roman" w:hAnsi="Times New Roman" w:cs="Times New Roman"/>
                <w:sz w:val="23"/>
                <w:szCs w:val="23"/>
              </w:rPr>
              <w:t>Isiolo</w:t>
            </w:r>
            <w:proofErr w:type="spellEnd"/>
            <w:r w:rsidRPr="00200BCF">
              <w:rPr>
                <w:rFonts w:ascii="Times New Roman" w:hAnsi="Times New Roman" w:cs="Times New Roman"/>
                <w:sz w:val="23"/>
                <w:szCs w:val="23"/>
              </w:rPr>
              <w:t xml:space="preserve">, Mandera, </w:t>
            </w:r>
            <w:proofErr w:type="spellStart"/>
            <w:r w:rsidRPr="00200BCF">
              <w:rPr>
                <w:rFonts w:ascii="Times New Roman" w:hAnsi="Times New Roman" w:cs="Times New Roman"/>
                <w:sz w:val="23"/>
                <w:szCs w:val="23"/>
              </w:rPr>
              <w:t>Lamu</w:t>
            </w:r>
            <w:proofErr w:type="spellEnd"/>
            <w:r w:rsidRPr="00200BCF">
              <w:rPr>
                <w:rFonts w:ascii="Times New Roman" w:hAnsi="Times New Roman" w:cs="Times New Roman"/>
                <w:sz w:val="23"/>
                <w:szCs w:val="23"/>
              </w:rPr>
              <w:t xml:space="preserve"> and Tana River experience conflict. These conflicts range from the perennial animal banditry to extreme violence from militia groups. </w:t>
            </w:r>
            <w:r w:rsidR="00FA1861">
              <w:rPr>
                <w:rFonts w:ascii="Times New Roman" w:hAnsi="Times New Roman" w:cs="Times New Roman"/>
                <w:sz w:val="23"/>
                <w:szCs w:val="23"/>
              </w:rPr>
              <w:t xml:space="preserve">However, the project will not use military or paid security forces that will come </w:t>
            </w:r>
            <w:r w:rsidR="006F07AC">
              <w:rPr>
                <w:rFonts w:ascii="Times New Roman" w:hAnsi="Times New Roman" w:cs="Times New Roman"/>
                <w:sz w:val="23"/>
                <w:szCs w:val="23"/>
              </w:rPr>
              <w:t xml:space="preserve">in direct contact with beneficiaries. </w:t>
            </w:r>
          </w:p>
        </w:tc>
      </w:tr>
      <w:tr w:rsidR="00B458BA" w:rsidRPr="00200BCF" w14:paraId="3B714EC2" w14:textId="77777777" w:rsidTr="004527A7">
        <w:trPr>
          <w:trHeight w:val="629"/>
          <w:jc w:val="right"/>
        </w:trPr>
        <w:tc>
          <w:tcPr>
            <w:tcW w:w="886" w:type="pct"/>
          </w:tcPr>
          <w:p w14:paraId="5C7B073D"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 xml:space="preserve">How much infrastructure construction, upgrading or rehabilitation </w:t>
            </w:r>
            <w:r w:rsidRPr="00200BCF">
              <w:rPr>
                <w:rFonts w:ascii="Times New Roman" w:hAnsi="Times New Roman" w:cs="Times New Roman"/>
                <w:sz w:val="23"/>
                <w:szCs w:val="23"/>
                <w:lang w:val="en-GB"/>
              </w:rPr>
              <w:lastRenderedPageBreak/>
              <w:t>does the project entail?</w:t>
            </w:r>
          </w:p>
        </w:tc>
        <w:tc>
          <w:tcPr>
            <w:tcW w:w="687" w:type="pct"/>
            <w:shd w:val="clear" w:color="auto" w:fill="FFF2CC"/>
            <w:vAlign w:val="center"/>
          </w:tcPr>
          <w:p w14:paraId="76D1A2EC"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lastRenderedPageBreak/>
              <w:t xml:space="preserve">Medium </w:t>
            </w:r>
          </w:p>
        </w:tc>
        <w:tc>
          <w:tcPr>
            <w:tcW w:w="675" w:type="pct"/>
            <w:shd w:val="clear" w:color="auto" w:fill="C5E0B3"/>
            <w:vAlign w:val="center"/>
          </w:tcPr>
          <w:p w14:paraId="636429EC"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Moderate Risk</w:t>
            </w:r>
          </w:p>
        </w:tc>
        <w:tc>
          <w:tcPr>
            <w:tcW w:w="2752" w:type="pct"/>
            <w:shd w:val="clear" w:color="auto" w:fill="auto"/>
          </w:tcPr>
          <w:p w14:paraId="14A93C0C" w14:textId="022941D1"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The Project will have relatively small</w:t>
            </w:r>
            <w:r w:rsidR="006F07AC">
              <w:rPr>
                <w:rFonts w:ascii="Times New Roman" w:hAnsi="Times New Roman" w:cs="Times New Roman"/>
                <w:sz w:val="23"/>
                <w:szCs w:val="23"/>
              </w:rPr>
              <w:t xml:space="preserve"> to medium</w:t>
            </w:r>
            <w:r w:rsidRPr="00200BCF">
              <w:rPr>
                <w:rFonts w:ascii="Times New Roman" w:hAnsi="Times New Roman" w:cs="Times New Roman"/>
                <w:sz w:val="23"/>
                <w:szCs w:val="23"/>
              </w:rPr>
              <w:t xml:space="preserve"> civil works levels of construction of infrastructure that will involve trenching and laying of the fiber optic cable. </w:t>
            </w:r>
            <w:r w:rsidR="00115021">
              <w:rPr>
                <w:rFonts w:ascii="Times New Roman" w:hAnsi="Times New Roman" w:cs="Times New Roman"/>
                <w:sz w:val="23"/>
                <w:szCs w:val="23"/>
              </w:rPr>
              <w:t xml:space="preserve">The project will not result to </w:t>
            </w:r>
            <w:proofErr w:type="spellStart"/>
            <w:r w:rsidR="00115021">
              <w:rPr>
                <w:rFonts w:ascii="Times New Roman" w:hAnsi="Times New Roman" w:cs="Times New Roman"/>
                <w:sz w:val="23"/>
                <w:szCs w:val="23"/>
              </w:rPr>
              <w:t>labour</w:t>
            </w:r>
            <w:proofErr w:type="spellEnd"/>
            <w:r w:rsidR="00115021">
              <w:rPr>
                <w:rFonts w:ascii="Times New Roman" w:hAnsi="Times New Roman" w:cs="Times New Roman"/>
                <w:sz w:val="23"/>
                <w:szCs w:val="23"/>
              </w:rPr>
              <w:t xml:space="preserve"> influx or setting up of contractor’s camps. </w:t>
            </w:r>
          </w:p>
        </w:tc>
      </w:tr>
      <w:tr w:rsidR="00B458BA" w:rsidRPr="00200BCF" w14:paraId="01F8837A" w14:textId="77777777" w:rsidTr="004527A7">
        <w:trPr>
          <w:trHeight w:val="629"/>
          <w:jc w:val="right"/>
        </w:trPr>
        <w:tc>
          <w:tcPr>
            <w:tcW w:w="886" w:type="pct"/>
          </w:tcPr>
          <w:p w14:paraId="04E73D60"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What is the extent of the influx of labour associated with project activities?</w:t>
            </w:r>
          </w:p>
        </w:tc>
        <w:tc>
          <w:tcPr>
            <w:tcW w:w="687" w:type="pct"/>
            <w:shd w:val="clear" w:color="auto" w:fill="FFF2CC"/>
            <w:vAlign w:val="center"/>
          </w:tcPr>
          <w:p w14:paraId="362A37A2"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Low</w:t>
            </w:r>
          </w:p>
        </w:tc>
        <w:tc>
          <w:tcPr>
            <w:tcW w:w="675" w:type="pct"/>
            <w:shd w:val="clear" w:color="auto" w:fill="FFD966"/>
            <w:vAlign w:val="center"/>
          </w:tcPr>
          <w:p w14:paraId="0CA51EB1"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Low Risk</w:t>
            </w:r>
          </w:p>
        </w:tc>
        <w:tc>
          <w:tcPr>
            <w:tcW w:w="2752" w:type="pct"/>
            <w:shd w:val="clear" w:color="auto" w:fill="auto"/>
          </w:tcPr>
          <w:p w14:paraId="359721CD" w14:textId="0CE7F286" w:rsidR="00B458BA" w:rsidRPr="00200BCF" w:rsidRDefault="00B458BA" w:rsidP="004527A7">
            <w:pPr>
              <w:spacing w:line="276" w:lineRule="auto"/>
              <w:ind w:right="37"/>
              <w:jc w:val="both"/>
              <w:rPr>
                <w:rFonts w:ascii="Times New Roman" w:hAnsi="Times New Roman" w:cs="Times New Roman"/>
                <w:sz w:val="23"/>
                <w:szCs w:val="23"/>
                <w:lang w:val="en-GB"/>
              </w:rPr>
            </w:pPr>
            <w:r w:rsidRPr="00200BCF">
              <w:rPr>
                <w:rFonts w:ascii="Times New Roman" w:hAnsi="Times New Roman" w:cs="Times New Roman"/>
                <w:sz w:val="23"/>
                <w:szCs w:val="23"/>
              </w:rPr>
              <w:t>The laying of the fiber optic cable is an activity that is highly mechanized. The Contractors will maintain lean staff</w:t>
            </w:r>
            <w:r w:rsidR="00867677">
              <w:rPr>
                <w:rFonts w:ascii="Times New Roman" w:hAnsi="Times New Roman" w:cs="Times New Roman"/>
                <w:sz w:val="23"/>
                <w:szCs w:val="23"/>
              </w:rPr>
              <w:t xml:space="preserve"> without any worker’s camp to be set up under the project</w:t>
            </w:r>
            <w:r w:rsidRPr="00200BCF">
              <w:rPr>
                <w:rFonts w:ascii="Times New Roman" w:hAnsi="Times New Roman" w:cs="Times New Roman"/>
                <w:sz w:val="23"/>
                <w:szCs w:val="23"/>
              </w:rPr>
              <w:t>. In this case easy to supervise and thus minimizing the SEA/SH risks.</w:t>
            </w:r>
          </w:p>
        </w:tc>
      </w:tr>
      <w:tr w:rsidR="00B458BA" w:rsidRPr="00200BCF" w14:paraId="016B134A" w14:textId="77777777" w:rsidTr="004527A7">
        <w:trPr>
          <w:trHeight w:val="629"/>
          <w:jc w:val="right"/>
        </w:trPr>
        <w:tc>
          <w:tcPr>
            <w:tcW w:w="886" w:type="pct"/>
          </w:tcPr>
          <w:p w14:paraId="35D8962B"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During the preparation of the project, were consultations carried out with residents, women’s associations, and children?</w:t>
            </w:r>
          </w:p>
        </w:tc>
        <w:tc>
          <w:tcPr>
            <w:tcW w:w="687" w:type="pct"/>
            <w:shd w:val="clear" w:color="auto" w:fill="FFF2CC"/>
            <w:vAlign w:val="center"/>
          </w:tcPr>
          <w:p w14:paraId="5105C7F7"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Yes</w:t>
            </w:r>
          </w:p>
        </w:tc>
        <w:tc>
          <w:tcPr>
            <w:tcW w:w="675" w:type="pct"/>
            <w:shd w:val="clear" w:color="auto" w:fill="FFD966" w:themeFill="accent4" w:themeFillTint="99"/>
            <w:vAlign w:val="center"/>
          </w:tcPr>
          <w:p w14:paraId="65D51F20"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Moderate Risk</w:t>
            </w:r>
          </w:p>
        </w:tc>
        <w:tc>
          <w:tcPr>
            <w:tcW w:w="2752" w:type="pct"/>
            <w:shd w:val="clear" w:color="auto" w:fill="auto"/>
          </w:tcPr>
          <w:p w14:paraId="3C180B02" w14:textId="784CF422"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Consultations </w:t>
            </w:r>
            <w:proofErr w:type="gramStart"/>
            <w:r w:rsidR="00236BC1">
              <w:rPr>
                <w:rFonts w:ascii="Times New Roman" w:hAnsi="Times New Roman" w:cs="Times New Roman"/>
                <w:sz w:val="23"/>
                <w:szCs w:val="23"/>
              </w:rPr>
              <w:t>we</w:t>
            </w:r>
            <w:proofErr w:type="gramEnd"/>
            <w:r w:rsidR="00236BC1">
              <w:rPr>
                <w:rFonts w:ascii="Times New Roman" w:hAnsi="Times New Roman" w:cs="Times New Roman"/>
                <w:sz w:val="23"/>
                <w:szCs w:val="23"/>
              </w:rPr>
              <w:t xml:space="preserve"> </w:t>
            </w:r>
            <w:r w:rsidR="00ED71BC">
              <w:rPr>
                <w:rFonts w:ascii="Times New Roman" w:hAnsi="Times New Roman" w:cs="Times New Roman"/>
                <w:sz w:val="23"/>
                <w:szCs w:val="23"/>
              </w:rPr>
              <w:t>undertaken</w:t>
            </w:r>
            <w:r w:rsidRPr="00200BCF">
              <w:rPr>
                <w:rFonts w:ascii="Times New Roman" w:hAnsi="Times New Roman" w:cs="Times New Roman"/>
                <w:sz w:val="23"/>
                <w:szCs w:val="23"/>
              </w:rPr>
              <w:t xml:space="preserve"> during the project preparation, especially as part of preparation of ESF documents. Residents, women, and women's associations are being consulted widely by the sub PIUs. More consultations will be carried out with </w:t>
            </w:r>
            <w:r w:rsidR="00BB0BAE">
              <w:rPr>
                <w:rFonts w:ascii="Times New Roman" w:hAnsi="Times New Roman" w:cs="Times New Roman"/>
                <w:sz w:val="23"/>
                <w:szCs w:val="23"/>
              </w:rPr>
              <w:t xml:space="preserve">women and </w:t>
            </w:r>
            <w:r w:rsidRPr="00200BCF">
              <w:rPr>
                <w:rFonts w:ascii="Times New Roman" w:hAnsi="Times New Roman" w:cs="Times New Roman"/>
                <w:sz w:val="23"/>
                <w:szCs w:val="23"/>
              </w:rPr>
              <w:t>women’s organizations as part of the wider continuous stakeholder engagement during project implementation.</w:t>
            </w:r>
          </w:p>
        </w:tc>
      </w:tr>
      <w:tr w:rsidR="00B458BA" w:rsidRPr="00200BCF" w14:paraId="4D8F70A1" w14:textId="77777777" w:rsidTr="004527A7">
        <w:trPr>
          <w:trHeight w:val="629"/>
          <w:jc w:val="right"/>
        </w:trPr>
        <w:tc>
          <w:tcPr>
            <w:tcW w:w="886" w:type="pct"/>
          </w:tcPr>
          <w:p w14:paraId="03CF9CE8"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During the consultations, were aspects of SEAH raised by the participating women?</w:t>
            </w:r>
          </w:p>
        </w:tc>
        <w:tc>
          <w:tcPr>
            <w:tcW w:w="687" w:type="pct"/>
            <w:shd w:val="clear" w:color="auto" w:fill="FFF2CC"/>
            <w:vAlign w:val="center"/>
          </w:tcPr>
          <w:p w14:paraId="4EC32B66"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No</w:t>
            </w:r>
          </w:p>
        </w:tc>
        <w:tc>
          <w:tcPr>
            <w:tcW w:w="675" w:type="pct"/>
            <w:shd w:val="clear" w:color="auto" w:fill="FFD966" w:themeFill="accent4" w:themeFillTint="99"/>
            <w:vAlign w:val="center"/>
          </w:tcPr>
          <w:p w14:paraId="3064D975"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Moderate Risk</w:t>
            </w:r>
          </w:p>
        </w:tc>
        <w:tc>
          <w:tcPr>
            <w:tcW w:w="2752" w:type="pct"/>
            <w:shd w:val="clear" w:color="auto" w:fill="auto"/>
          </w:tcPr>
          <w:p w14:paraId="27F71939" w14:textId="77777777"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 SEAH reporting and management protocol will be prioritized during the consultations, with an emphasis on survivor-</w:t>
            </w:r>
            <w:proofErr w:type="spellStart"/>
            <w:r w:rsidRPr="00200BCF">
              <w:rPr>
                <w:rFonts w:ascii="Times New Roman" w:hAnsi="Times New Roman" w:cs="Times New Roman"/>
                <w:sz w:val="23"/>
                <w:szCs w:val="23"/>
              </w:rPr>
              <w:t>centred</w:t>
            </w:r>
            <w:proofErr w:type="spellEnd"/>
            <w:r w:rsidRPr="00200BCF">
              <w:rPr>
                <w:rFonts w:ascii="Times New Roman" w:hAnsi="Times New Roman" w:cs="Times New Roman"/>
                <w:sz w:val="23"/>
                <w:szCs w:val="23"/>
              </w:rPr>
              <w:t xml:space="preserve"> approaches. </w:t>
            </w:r>
          </w:p>
        </w:tc>
      </w:tr>
      <w:tr w:rsidR="00B458BA" w:rsidRPr="00200BCF" w14:paraId="0A1131C0" w14:textId="77777777" w:rsidTr="004527A7">
        <w:trPr>
          <w:trHeight w:val="1160"/>
          <w:jc w:val="right"/>
        </w:trPr>
        <w:tc>
          <w:tcPr>
            <w:tcW w:w="886" w:type="pct"/>
          </w:tcPr>
          <w:p w14:paraId="12E0B0ED"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Does the project area include areas of high poverty?</w:t>
            </w:r>
          </w:p>
        </w:tc>
        <w:tc>
          <w:tcPr>
            <w:tcW w:w="687" w:type="pct"/>
            <w:shd w:val="clear" w:color="auto" w:fill="FFF2CC"/>
            <w:vAlign w:val="center"/>
          </w:tcPr>
          <w:p w14:paraId="50F01ECE"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Yes</w:t>
            </w:r>
          </w:p>
        </w:tc>
        <w:tc>
          <w:tcPr>
            <w:tcW w:w="675" w:type="pct"/>
            <w:shd w:val="clear" w:color="auto" w:fill="FBA999"/>
            <w:vAlign w:val="center"/>
          </w:tcPr>
          <w:p w14:paraId="26DAB335"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Substantial</w:t>
            </w:r>
          </w:p>
        </w:tc>
        <w:tc>
          <w:tcPr>
            <w:tcW w:w="2752" w:type="pct"/>
            <w:shd w:val="clear" w:color="auto" w:fill="auto"/>
          </w:tcPr>
          <w:p w14:paraId="2F19C116" w14:textId="6861B51A"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The counties in the </w:t>
            </w:r>
            <w:r w:rsidR="0002496A">
              <w:rPr>
                <w:rFonts w:ascii="Times New Roman" w:hAnsi="Times New Roman" w:cs="Times New Roman"/>
                <w:sz w:val="23"/>
                <w:szCs w:val="23"/>
              </w:rPr>
              <w:t xml:space="preserve">arid and </w:t>
            </w:r>
            <w:r w:rsidRPr="00200BCF">
              <w:rPr>
                <w:rFonts w:ascii="Times New Roman" w:hAnsi="Times New Roman" w:cs="Times New Roman"/>
                <w:sz w:val="23"/>
                <w:szCs w:val="23"/>
              </w:rPr>
              <w:t>marginalized area of Kenya have high poverty levels.</w:t>
            </w:r>
            <w:r w:rsidR="0002496A">
              <w:rPr>
                <w:rFonts w:ascii="Times New Roman" w:hAnsi="Times New Roman" w:cs="Times New Roman"/>
                <w:sz w:val="23"/>
                <w:szCs w:val="23"/>
              </w:rPr>
              <w:t xml:space="preserve"> The project will also be implemented in some urban areas with high poverty levels.</w:t>
            </w:r>
            <w:r w:rsidRPr="00200BCF">
              <w:rPr>
                <w:rFonts w:ascii="Times New Roman" w:hAnsi="Times New Roman" w:cs="Times New Roman"/>
                <w:sz w:val="23"/>
                <w:szCs w:val="23"/>
              </w:rPr>
              <w:t xml:space="preserve"> </w:t>
            </w:r>
          </w:p>
        </w:tc>
      </w:tr>
      <w:tr w:rsidR="00B458BA" w:rsidRPr="00200BCF" w14:paraId="2E84616A" w14:textId="77777777" w:rsidTr="001D78B7">
        <w:trPr>
          <w:trHeight w:val="836"/>
          <w:jc w:val="right"/>
        </w:trPr>
        <w:tc>
          <w:tcPr>
            <w:tcW w:w="886" w:type="pct"/>
          </w:tcPr>
          <w:p w14:paraId="50AE5489"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 xml:space="preserve">Is the project located in regions that are difficult to supervise (remote or difficult to access areas)? </w:t>
            </w:r>
          </w:p>
          <w:p w14:paraId="4AEDF80A" w14:textId="77777777" w:rsidR="00B458BA" w:rsidRPr="00200BCF" w:rsidRDefault="00B458BA" w:rsidP="004527A7">
            <w:pPr>
              <w:spacing w:line="276" w:lineRule="auto"/>
              <w:rPr>
                <w:rFonts w:ascii="Times New Roman" w:hAnsi="Times New Roman" w:cs="Times New Roman"/>
                <w:sz w:val="23"/>
                <w:szCs w:val="23"/>
                <w:lang w:val="en-GB"/>
              </w:rPr>
            </w:pPr>
          </w:p>
        </w:tc>
        <w:tc>
          <w:tcPr>
            <w:tcW w:w="687" w:type="pct"/>
            <w:shd w:val="clear" w:color="auto" w:fill="FFF2CC"/>
            <w:vAlign w:val="center"/>
          </w:tcPr>
          <w:p w14:paraId="26518388"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lastRenderedPageBreak/>
              <w:t>Yes</w:t>
            </w:r>
          </w:p>
        </w:tc>
        <w:tc>
          <w:tcPr>
            <w:tcW w:w="675" w:type="pct"/>
            <w:shd w:val="clear" w:color="auto" w:fill="FA72B6"/>
            <w:vAlign w:val="center"/>
          </w:tcPr>
          <w:p w14:paraId="202FC177"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Substantial Risk</w:t>
            </w:r>
          </w:p>
        </w:tc>
        <w:tc>
          <w:tcPr>
            <w:tcW w:w="2752" w:type="pct"/>
            <w:shd w:val="clear" w:color="auto" w:fill="auto"/>
          </w:tcPr>
          <w:p w14:paraId="631DA987" w14:textId="77777777"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Kenya's ASALs, make up 89% of the country’s total land surface meaning that project activities are purely in ASAL and therefore spread over a wide area. </w:t>
            </w:r>
          </w:p>
          <w:p w14:paraId="03FD7BD6" w14:textId="77777777"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The project will be implemented in all the 47 counties of Kenya. About six of these counties of Turkana, Wajir, </w:t>
            </w:r>
            <w:proofErr w:type="spellStart"/>
            <w:r w:rsidRPr="00200BCF">
              <w:rPr>
                <w:rFonts w:ascii="Times New Roman" w:hAnsi="Times New Roman" w:cs="Times New Roman"/>
                <w:sz w:val="23"/>
                <w:szCs w:val="23"/>
              </w:rPr>
              <w:t>Isiolo</w:t>
            </w:r>
            <w:proofErr w:type="spellEnd"/>
            <w:r w:rsidRPr="00200BCF">
              <w:rPr>
                <w:rFonts w:ascii="Times New Roman" w:hAnsi="Times New Roman" w:cs="Times New Roman"/>
                <w:sz w:val="23"/>
                <w:szCs w:val="23"/>
              </w:rPr>
              <w:t xml:space="preserve">, Mandera, </w:t>
            </w:r>
            <w:proofErr w:type="spellStart"/>
            <w:r w:rsidRPr="00200BCF">
              <w:rPr>
                <w:rFonts w:ascii="Times New Roman" w:hAnsi="Times New Roman" w:cs="Times New Roman"/>
                <w:sz w:val="23"/>
                <w:szCs w:val="23"/>
              </w:rPr>
              <w:t>Lamu</w:t>
            </w:r>
            <w:proofErr w:type="spellEnd"/>
            <w:r w:rsidRPr="00200BCF">
              <w:rPr>
                <w:rFonts w:ascii="Times New Roman" w:hAnsi="Times New Roman" w:cs="Times New Roman"/>
                <w:sz w:val="23"/>
                <w:szCs w:val="23"/>
              </w:rPr>
              <w:t xml:space="preserve"> and Tana River experience conflict. These conflicts range </w:t>
            </w:r>
            <w:r w:rsidRPr="00200BCF">
              <w:rPr>
                <w:rFonts w:ascii="Times New Roman" w:hAnsi="Times New Roman" w:cs="Times New Roman"/>
                <w:sz w:val="23"/>
                <w:szCs w:val="23"/>
              </w:rPr>
              <w:lastRenderedPageBreak/>
              <w:t>from the perennial animal banditry to extreme violence from militia groups.</w:t>
            </w:r>
          </w:p>
        </w:tc>
      </w:tr>
      <w:tr w:rsidR="00B458BA" w:rsidRPr="00200BCF" w14:paraId="6D211354" w14:textId="77777777" w:rsidTr="004527A7">
        <w:trPr>
          <w:trHeight w:val="710"/>
          <w:jc w:val="right"/>
        </w:trPr>
        <w:tc>
          <w:tcPr>
            <w:tcW w:w="886" w:type="pct"/>
          </w:tcPr>
          <w:p w14:paraId="2799DA7A"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lastRenderedPageBreak/>
              <w:t>Is the project located in an urban, peri-urban, or rural area?</w:t>
            </w:r>
          </w:p>
        </w:tc>
        <w:tc>
          <w:tcPr>
            <w:tcW w:w="687" w:type="pct"/>
            <w:shd w:val="clear" w:color="auto" w:fill="FFF2CC"/>
            <w:vAlign w:val="center"/>
            <w:hideMark/>
          </w:tcPr>
          <w:p w14:paraId="545F5249"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Rural, per-</w:t>
            </w:r>
            <w:proofErr w:type="gramStart"/>
            <w:r w:rsidRPr="00200BCF">
              <w:rPr>
                <w:rFonts w:ascii="Times New Roman" w:hAnsi="Times New Roman" w:cs="Times New Roman"/>
                <w:sz w:val="23"/>
                <w:szCs w:val="23"/>
                <w:lang w:val="en-GB"/>
              </w:rPr>
              <w:t>urban</w:t>
            </w:r>
            <w:proofErr w:type="gramEnd"/>
            <w:r w:rsidRPr="00200BCF">
              <w:rPr>
                <w:rFonts w:ascii="Times New Roman" w:hAnsi="Times New Roman" w:cs="Times New Roman"/>
                <w:sz w:val="23"/>
                <w:szCs w:val="23"/>
                <w:lang w:val="en-GB"/>
              </w:rPr>
              <w:t xml:space="preserve"> and Urban</w:t>
            </w:r>
          </w:p>
        </w:tc>
        <w:tc>
          <w:tcPr>
            <w:tcW w:w="675" w:type="pct"/>
            <w:shd w:val="clear" w:color="auto" w:fill="FBA999"/>
            <w:vAlign w:val="center"/>
            <w:hideMark/>
          </w:tcPr>
          <w:p w14:paraId="67E49DCC"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Substantial Risk</w:t>
            </w:r>
          </w:p>
        </w:tc>
        <w:tc>
          <w:tcPr>
            <w:tcW w:w="2752" w:type="pct"/>
            <w:shd w:val="clear" w:color="auto" w:fill="auto"/>
          </w:tcPr>
          <w:p w14:paraId="48868ECC"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rPr>
              <w:t xml:space="preserve">The project will be implemented in all the areas rural, peri-urban and urban areas. </w:t>
            </w:r>
          </w:p>
        </w:tc>
      </w:tr>
      <w:tr w:rsidR="00B458BA" w:rsidRPr="00200BCF" w14:paraId="4BC879AB" w14:textId="77777777" w:rsidTr="004527A7">
        <w:trPr>
          <w:trHeight w:val="710"/>
          <w:jc w:val="right"/>
        </w:trPr>
        <w:tc>
          <w:tcPr>
            <w:tcW w:w="886" w:type="pct"/>
          </w:tcPr>
          <w:p w14:paraId="28EF7AF3"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 xml:space="preserve">Are project activities on a school route or other routes that women and girls use to carry out their daily activities </w:t>
            </w:r>
          </w:p>
        </w:tc>
        <w:tc>
          <w:tcPr>
            <w:tcW w:w="687" w:type="pct"/>
            <w:shd w:val="clear" w:color="auto" w:fill="FFF2CC"/>
            <w:vAlign w:val="center"/>
          </w:tcPr>
          <w:p w14:paraId="064C7274"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 xml:space="preserve">Likely </w:t>
            </w:r>
          </w:p>
        </w:tc>
        <w:tc>
          <w:tcPr>
            <w:tcW w:w="675" w:type="pct"/>
            <w:shd w:val="clear" w:color="auto" w:fill="FFD966" w:themeFill="accent4" w:themeFillTint="99"/>
            <w:vAlign w:val="center"/>
          </w:tcPr>
          <w:p w14:paraId="3DCF8C21"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 xml:space="preserve">Moderate Risk </w:t>
            </w:r>
          </w:p>
        </w:tc>
        <w:tc>
          <w:tcPr>
            <w:tcW w:w="2752" w:type="pct"/>
            <w:shd w:val="clear" w:color="auto" w:fill="auto"/>
          </w:tcPr>
          <w:p w14:paraId="76A4FF59" w14:textId="77777777" w:rsidR="001D78B7" w:rsidRDefault="00B458BA" w:rsidP="00200BCF">
            <w:pPr>
              <w:spacing w:line="276" w:lineRule="auto"/>
              <w:jc w:val="both"/>
              <w:rPr>
                <w:rFonts w:ascii="Times New Roman" w:hAnsi="Times New Roman" w:cs="Times New Roman"/>
                <w:sz w:val="23"/>
                <w:szCs w:val="23"/>
              </w:rPr>
            </w:pPr>
            <w:r w:rsidRPr="00200BCF">
              <w:rPr>
                <w:rFonts w:ascii="Times New Roman" w:hAnsi="Times New Roman" w:cs="Times New Roman"/>
                <w:sz w:val="23"/>
                <w:szCs w:val="23"/>
              </w:rPr>
              <w:t xml:space="preserve">The proposed project activities will most likely locate in or near schools and on school routes due to </w:t>
            </w:r>
            <w:r w:rsidR="001D78B7">
              <w:rPr>
                <w:rFonts w:ascii="Times New Roman" w:hAnsi="Times New Roman" w:cs="Times New Roman"/>
                <w:sz w:val="23"/>
                <w:szCs w:val="23"/>
              </w:rPr>
              <w:t xml:space="preserve">activities related to digital </w:t>
            </w:r>
            <w:r w:rsidRPr="00200BCF">
              <w:rPr>
                <w:rFonts w:ascii="Times New Roman" w:hAnsi="Times New Roman" w:cs="Times New Roman"/>
                <w:sz w:val="23"/>
                <w:szCs w:val="23"/>
              </w:rPr>
              <w:t xml:space="preserve">connection to schools. </w:t>
            </w:r>
          </w:p>
          <w:p w14:paraId="5E3FAC79" w14:textId="6ACF57FC" w:rsidR="00B458BA" w:rsidRPr="00200BCF" w:rsidRDefault="00B458BA" w:rsidP="00200BCF">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Nonetheless, </w:t>
            </w:r>
            <w:r w:rsidR="001D78B7">
              <w:rPr>
                <w:rFonts w:ascii="Times New Roman" w:hAnsi="Times New Roman" w:cs="Times New Roman"/>
                <w:sz w:val="23"/>
                <w:szCs w:val="23"/>
              </w:rPr>
              <w:t xml:space="preserve">the </w:t>
            </w:r>
            <w:r w:rsidR="002D0097">
              <w:rPr>
                <w:rFonts w:ascii="Times New Roman" w:hAnsi="Times New Roman" w:cs="Times New Roman"/>
                <w:sz w:val="23"/>
                <w:szCs w:val="23"/>
              </w:rPr>
              <w:t>contractor’s</w:t>
            </w:r>
            <w:r w:rsidR="001D78B7">
              <w:rPr>
                <w:rFonts w:ascii="Times New Roman" w:hAnsi="Times New Roman" w:cs="Times New Roman"/>
                <w:sz w:val="23"/>
                <w:szCs w:val="23"/>
              </w:rPr>
              <w:t xml:space="preserve"> worker will be lean with close supervision</w:t>
            </w:r>
            <w:r w:rsidR="00F07CA6">
              <w:rPr>
                <w:rFonts w:ascii="Times New Roman" w:hAnsi="Times New Roman" w:cs="Times New Roman"/>
                <w:sz w:val="23"/>
                <w:szCs w:val="23"/>
              </w:rPr>
              <w:t>. All workers will sign the project’s code of conduct</w:t>
            </w:r>
            <w:r w:rsidR="002D0097">
              <w:rPr>
                <w:rFonts w:ascii="Times New Roman" w:hAnsi="Times New Roman" w:cs="Times New Roman"/>
                <w:sz w:val="23"/>
                <w:szCs w:val="23"/>
              </w:rPr>
              <w:t>.</w:t>
            </w:r>
            <w:r w:rsidRPr="00200BCF">
              <w:rPr>
                <w:rFonts w:ascii="Times New Roman" w:hAnsi="Times New Roman" w:cs="Times New Roman"/>
                <w:sz w:val="23"/>
                <w:szCs w:val="23"/>
              </w:rPr>
              <w:t xml:space="preserve"> </w:t>
            </w:r>
          </w:p>
        </w:tc>
      </w:tr>
      <w:tr w:rsidR="00B458BA" w:rsidRPr="00200BCF" w14:paraId="08941566" w14:textId="77777777" w:rsidTr="004527A7">
        <w:trPr>
          <w:trHeight w:val="890"/>
          <w:jc w:val="right"/>
        </w:trPr>
        <w:tc>
          <w:tcPr>
            <w:tcW w:w="886" w:type="pct"/>
          </w:tcPr>
          <w:p w14:paraId="64F07B8C"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Are women working near men without supervision?</w:t>
            </w:r>
          </w:p>
        </w:tc>
        <w:tc>
          <w:tcPr>
            <w:tcW w:w="687" w:type="pct"/>
            <w:shd w:val="clear" w:color="auto" w:fill="FFF2CC"/>
            <w:vAlign w:val="center"/>
          </w:tcPr>
          <w:p w14:paraId="78C08F4F" w14:textId="6BC09D43" w:rsidR="00B458BA" w:rsidRPr="00200BCF" w:rsidRDefault="005A3E05" w:rsidP="004527A7">
            <w:pPr>
              <w:spacing w:line="276" w:lineRule="auto"/>
              <w:rPr>
                <w:rFonts w:ascii="Times New Roman" w:hAnsi="Times New Roman" w:cs="Times New Roman"/>
                <w:sz w:val="23"/>
                <w:szCs w:val="23"/>
                <w:lang w:val="en-GB"/>
              </w:rPr>
            </w:pPr>
            <w:r>
              <w:rPr>
                <w:rFonts w:ascii="Times New Roman" w:hAnsi="Times New Roman" w:cs="Times New Roman"/>
                <w:sz w:val="23"/>
                <w:szCs w:val="23"/>
                <w:lang w:val="en-GB"/>
              </w:rPr>
              <w:t>L</w:t>
            </w:r>
            <w:r w:rsidR="00B458BA" w:rsidRPr="00200BCF">
              <w:rPr>
                <w:rFonts w:ascii="Times New Roman" w:hAnsi="Times New Roman" w:cs="Times New Roman"/>
                <w:sz w:val="23"/>
                <w:szCs w:val="23"/>
                <w:lang w:val="en-GB"/>
              </w:rPr>
              <w:t>ikely</w:t>
            </w:r>
          </w:p>
        </w:tc>
        <w:tc>
          <w:tcPr>
            <w:tcW w:w="675" w:type="pct"/>
            <w:shd w:val="clear" w:color="auto" w:fill="FA72B6"/>
            <w:vAlign w:val="center"/>
          </w:tcPr>
          <w:p w14:paraId="0E46C7A8"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Low Risks</w:t>
            </w:r>
          </w:p>
        </w:tc>
        <w:tc>
          <w:tcPr>
            <w:tcW w:w="2752" w:type="pct"/>
            <w:shd w:val="clear" w:color="auto" w:fill="auto"/>
          </w:tcPr>
          <w:p w14:paraId="4C66388B" w14:textId="77777777" w:rsidR="00B458BA" w:rsidRPr="00200BCF" w:rsidRDefault="00B458BA" w:rsidP="00200BCF">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Project workers will be supervised but there is the possibility that men and women may work in proximity, given the nature of the activities. </w:t>
            </w:r>
          </w:p>
        </w:tc>
      </w:tr>
      <w:tr w:rsidR="00B458BA" w:rsidRPr="00200BCF" w14:paraId="7FCB82D0" w14:textId="77777777" w:rsidTr="004527A7">
        <w:trPr>
          <w:trHeight w:val="890"/>
          <w:jc w:val="right"/>
        </w:trPr>
        <w:tc>
          <w:tcPr>
            <w:tcW w:w="886" w:type="pct"/>
          </w:tcPr>
          <w:p w14:paraId="3405A8EC"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Is there a National Action Plan on Addressing Violence Against Women and Girls/GBV</w:t>
            </w:r>
          </w:p>
        </w:tc>
        <w:tc>
          <w:tcPr>
            <w:tcW w:w="687" w:type="pct"/>
            <w:shd w:val="clear" w:color="auto" w:fill="FFF2CC"/>
            <w:vAlign w:val="center"/>
          </w:tcPr>
          <w:p w14:paraId="582E286B"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Yes</w:t>
            </w:r>
          </w:p>
        </w:tc>
        <w:tc>
          <w:tcPr>
            <w:tcW w:w="675" w:type="pct"/>
            <w:shd w:val="clear" w:color="auto" w:fill="A8D08D"/>
            <w:vAlign w:val="center"/>
          </w:tcPr>
          <w:p w14:paraId="7DD18408"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Low Risk</w:t>
            </w:r>
          </w:p>
        </w:tc>
        <w:tc>
          <w:tcPr>
            <w:tcW w:w="2752" w:type="pct"/>
            <w:shd w:val="clear" w:color="auto" w:fill="auto"/>
          </w:tcPr>
          <w:p w14:paraId="69C32E13" w14:textId="0B20DF58" w:rsidR="00B458BA" w:rsidRPr="00200BCF" w:rsidRDefault="005A3E05"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The Client ICTA Authority has a GBV Policy</w:t>
            </w:r>
            <w:r w:rsidR="00ED71BC">
              <w:rPr>
                <w:rFonts w:ascii="Times New Roman" w:hAnsi="Times New Roman" w:cs="Times New Roman"/>
                <w:sz w:val="23"/>
                <w:szCs w:val="23"/>
              </w:rPr>
              <w:t xml:space="preserve"> and a gender focal point</w:t>
            </w:r>
            <w:r w:rsidRPr="00200BCF">
              <w:rPr>
                <w:rFonts w:ascii="Times New Roman" w:hAnsi="Times New Roman" w:cs="Times New Roman"/>
                <w:sz w:val="23"/>
                <w:szCs w:val="23"/>
              </w:rPr>
              <w:t xml:space="preserve"> in </w:t>
            </w:r>
            <w:r w:rsidR="00ED71BC" w:rsidRPr="00200BCF">
              <w:rPr>
                <w:rFonts w:ascii="Times New Roman" w:hAnsi="Times New Roman" w:cs="Times New Roman"/>
                <w:sz w:val="23"/>
                <w:szCs w:val="23"/>
              </w:rPr>
              <w:t>place. The</w:t>
            </w:r>
            <w:r w:rsidR="00B458BA" w:rsidRPr="00200BCF">
              <w:rPr>
                <w:rFonts w:ascii="Times New Roman" w:hAnsi="Times New Roman" w:cs="Times New Roman"/>
                <w:sz w:val="23"/>
                <w:szCs w:val="23"/>
              </w:rPr>
              <w:t xml:space="preserve"> National Policy for the Prevention and Response to Gender Based Violence - 2014 and Legislative Framework on Sexual and Gender Based Violence for County Governments - 2017 are in place in Kenya. The provision in that law required county governments to adopt county specific gender-based violence framework. </w:t>
            </w:r>
          </w:p>
        </w:tc>
      </w:tr>
      <w:tr w:rsidR="00B458BA" w:rsidRPr="00200BCF" w14:paraId="6E5708D3" w14:textId="77777777" w:rsidTr="004527A7">
        <w:trPr>
          <w:trHeight w:val="890"/>
          <w:jc w:val="right"/>
        </w:trPr>
        <w:tc>
          <w:tcPr>
            <w:tcW w:w="886" w:type="pct"/>
          </w:tcPr>
          <w:p w14:paraId="3D6665B1"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Is there at the National level SEAH Working Group</w:t>
            </w:r>
          </w:p>
        </w:tc>
        <w:tc>
          <w:tcPr>
            <w:tcW w:w="687" w:type="pct"/>
            <w:shd w:val="clear" w:color="auto" w:fill="FFF2CC"/>
            <w:vAlign w:val="center"/>
            <w:hideMark/>
          </w:tcPr>
          <w:p w14:paraId="1C580228"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Yes</w:t>
            </w:r>
          </w:p>
        </w:tc>
        <w:tc>
          <w:tcPr>
            <w:tcW w:w="675" w:type="pct"/>
            <w:shd w:val="clear" w:color="auto" w:fill="A8D08D"/>
            <w:vAlign w:val="center"/>
            <w:hideMark/>
          </w:tcPr>
          <w:p w14:paraId="77577D9D"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Low Risk</w:t>
            </w:r>
          </w:p>
        </w:tc>
        <w:tc>
          <w:tcPr>
            <w:tcW w:w="2752" w:type="pct"/>
            <w:shd w:val="clear" w:color="auto" w:fill="auto"/>
          </w:tcPr>
          <w:p w14:paraId="727ADC01" w14:textId="2F80DFE1" w:rsidR="00B458BA" w:rsidRPr="00200BCF" w:rsidRDefault="00B458BA" w:rsidP="004527A7">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 xml:space="preserve">The SEAH Sector working group is under the National Gender Sector Working Group (GSWG). There are also, </w:t>
            </w:r>
            <w:r w:rsidR="00ED71BC" w:rsidRPr="00200BCF">
              <w:rPr>
                <w:rFonts w:ascii="Times New Roman" w:hAnsi="Times New Roman" w:cs="Times New Roman"/>
                <w:sz w:val="23"/>
                <w:szCs w:val="23"/>
              </w:rPr>
              <w:t>county based</w:t>
            </w:r>
            <w:r w:rsidRPr="00200BCF">
              <w:rPr>
                <w:rFonts w:ascii="Times New Roman" w:hAnsi="Times New Roman" w:cs="Times New Roman"/>
                <w:sz w:val="23"/>
                <w:szCs w:val="23"/>
              </w:rPr>
              <w:t xml:space="preserve"> SEAH sector working groups which will be ideal in supporting this Plan.</w:t>
            </w:r>
          </w:p>
        </w:tc>
      </w:tr>
      <w:tr w:rsidR="00B458BA" w:rsidRPr="00200BCF" w14:paraId="2B27CEFB" w14:textId="77777777" w:rsidTr="004527A7">
        <w:trPr>
          <w:trHeight w:val="842"/>
          <w:jc w:val="right"/>
        </w:trPr>
        <w:tc>
          <w:tcPr>
            <w:tcW w:w="886" w:type="pct"/>
          </w:tcPr>
          <w:p w14:paraId="1BFA673D"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 xml:space="preserve">Is there a National referral protocol for </w:t>
            </w:r>
            <w:r w:rsidRPr="00200BCF">
              <w:rPr>
                <w:rFonts w:ascii="Times New Roman" w:hAnsi="Times New Roman" w:cs="Times New Roman"/>
                <w:sz w:val="23"/>
                <w:szCs w:val="23"/>
                <w:lang w:val="en-GB"/>
              </w:rPr>
              <w:lastRenderedPageBreak/>
              <w:t>SEAH Service Provision</w:t>
            </w:r>
          </w:p>
        </w:tc>
        <w:tc>
          <w:tcPr>
            <w:tcW w:w="687" w:type="pct"/>
            <w:shd w:val="clear" w:color="auto" w:fill="FFF2CC"/>
            <w:vAlign w:val="center"/>
            <w:hideMark/>
          </w:tcPr>
          <w:p w14:paraId="705747E1"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lastRenderedPageBreak/>
              <w:t>Yes</w:t>
            </w:r>
          </w:p>
        </w:tc>
        <w:tc>
          <w:tcPr>
            <w:tcW w:w="675" w:type="pct"/>
            <w:shd w:val="clear" w:color="auto" w:fill="A8D08D"/>
            <w:vAlign w:val="center"/>
            <w:hideMark/>
          </w:tcPr>
          <w:p w14:paraId="5F6D6FD5"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Low Risk</w:t>
            </w:r>
          </w:p>
        </w:tc>
        <w:tc>
          <w:tcPr>
            <w:tcW w:w="2752" w:type="pct"/>
            <w:shd w:val="clear" w:color="auto" w:fill="auto"/>
          </w:tcPr>
          <w:p w14:paraId="04682A34" w14:textId="1CD7D0DE" w:rsidR="00B458BA" w:rsidRPr="006C7D15" w:rsidRDefault="00B458BA" w:rsidP="004527A7">
            <w:pPr>
              <w:spacing w:line="276" w:lineRule="auto"/>
              <w:jc w:val="both"/>
              <w:rPr>
                <w:rFonts w:ascii="Times New Roman" w:hAnsi="Times New Roman" w:cs="Times New Roman"/>
                <w:sz w:val="23"/>
                <w:szCs w:val="23"/>
              </w:rPr>
            </w:pPr>
            <w:r w:rsidRPr="00200BCF">
              <w:rPr>
                <w:rFonts w:ascii="Times New Roman" w:hAnsi="Times New Roman" w:cs="Times New Roman"/>
                <w:sz w:val="23"/>
                <w:szCs w:val="23"/>
              </w:rPr>
              <w:t>Majority of counties have support for GBV survivors in place</w:t>
            </w:r>
            <w:r w:rsidR="00F25CDC">
              <w:rPr>
                <w:rFonts w:ascii="Times New Roman" w:hAnsi="Times New Roman" w:cs="Times New Roman"/>
                <w:sz w:val="23"/>
                <w:szCs w:val="23"/>
              </w:rPr>
              <w:t xml:space="preserve"> or in nearby towns or county </w:t>
            </w:r>
            <w:r w:rsidR="00ED71BC">
              <w:rPr>
                <w:rFonts w:ascii="Times New Roman" w:hAnsi="Times New Roman" w:cs="Times New Roman"/>
                <w:sz w:val="23"/>
                <w:szCs w:val="23"/>
              </w:rPr>
              <w:t>headquarters</w:t>
            </w:r>
            <w:r w:rsidRPr="00200BCF">
              <w:rPr>
                <w:rFonts w:ascii="Times New Roman" w:hAnsi="Times New Roman" w:cs="Times New Roman"/>
                <w:sz w:val="23"/>
                <w:szCs w:val="23"/>
              </w:rPr>
              <w:t xml:space="preserve">. These services would be available to the projects. </w:t>
            </w:r>
            <w:r w:rsidR="00F25CDC">
              <w:rPr>
                <w:rFonts w:ascii="Times New Roman" w:hAnsi="Times New Roman" w:cs="Times New Roman"/>
                <w:sz w:val="23"/>
                <w:szCs w:val="23"/>
              </w:rPr>
              <w:t xml:space="preserve">Most counties have active GBV </w:t>
            </w:r>
            <w:r w:rsidR="00F25CDC">
              <w:rPr>
                <w:rFonts w:ascii="Times New Roman" w:hAnsi="Times New Roman" w:cs="Times New Roman"/>
                <w:sz w:val="23"/>
                <w:szCs w:val="23"/>
              </w:rPr>
              <w:lastRenderedPageBreak/>
              <w:t xml:space="preserve">wellness centers that are well equipped offering, medical, </w:t>
            </w:r>
            <w:r w:rsidR="00ED71BC">
              <w:rPr>
                <w:rFonts w:ascii="Times New Roman" w:hAnsi="Times New Roman" w:cs="Times New Roman"/>
                <w:sz w:val="23"/>
                <w:szCs w:val="23"/>
              </w:rPr>
              <w:t>psychosocial,</w:t>
            </w:r>
            <w:r w:rsidR="00F25CDC">
              <w:rPr>
                <w:rFonts w:ascii="Times New Roman" w:hAnsi="Times New Roman" w:cs="Times New Roman"/>
                <w:sz w:val="23"/>
                <w:szCs w:val="23"/>
              </w:rPr>
              <w:t xml:space="preserve"> and legal services. There are few safe </w:t>
            </w:r>
            <w:r w:rsidR="00ED71BC">
              <w:rPr>
                <w:rFonts w:ascii="Times New Roman" w:hAnsi="Times New Roman" w:cs="Times New Roman"/>
                <w:sz w:val="23"/>
                <w:szCs w:val="23"/>
              </w:rPr>
              <w:t>houses</w:t>
            </w:r>
            <w:r w:rsidR="00400D0B">
              <w:rPr>
                <w:rFonts w:ascii="Times New Roman" w:hAnsi="Times New Roman" w:cs="Times New Roman"/>
                <w:sz w:val="23"/>
                <w:szCs w:val="23"/>
              </w:rPr>
              <w:t xml:space="preserve"> available supported by with the national or county government. GBV services in arid and </w:t>
            </w:r>
            <w:r w:rsidR="00ED71BC">
              <w:rPr>
                <w:rFonts w:ascii="Times New Roman" w:hAnsi="Times New Roman" w:cs="Times New Roman"/>
                <w:sz w:val="23"/>
                <w:szCs w:val="23"/>
              </w:rPr>
              <w:t>marginalized</w:t>
            </w:r>
            <w:r w:rsidR="00400D0B">
              <w:rPr>
                <w:rFonts w:ascii="Times New Roman" w:hAnsi="Times New Roman" w:cs="Times New Roman"/>
                <w:sz w:val="23"/>
                <w:szCs w:val="23"/>
              </w:rPr>
              <w:t xml:space="preserve"> areas are mostly offered </w:t>
            </w:r>
            <w:r w:rsidR="005009F5">
              <w:rPr>
                <w:rFonts w:ascii="Times New Roman" w:hAnsi="Times New Roman" w:cs="Times New Roman"/>
                <w:sz w:val="23"/>
                <w:szCs w:val="23"/>
              </w:rPr>
              <w:t xml:space="preserve">by </w:t>
            </w:r>
            <w:r w:rsidR="00ED71BC">
              <w:rPr>
                <w:rFonts w:ascii="Times New Roman" w:hAnsi="Times New Roman" w:cs="Times New Roman"/>
                <w:sz w:val="23"/>
                <w:szCs w:val="23"/>
              </w:rPr>
              <w:t>non-governmental</w:t>
            </w:r>
            <w:r w:rsidR="005009F5">
              <w:rPr>
                <w:rFonts w:ascii="Times New Roman" w:hAnsi="Times New Roman" w:cs="Times New Roman"/>
                <w:sz w:val="23"/>
                <w:szCs w:val="23"/>
              </w:rPr>
              <w:t xml:space="preserve"> </w:t>
            </w:r>
            <w:r w:rsidR="00ED71BC">
              <w:rPr>
                <w:rFonts w:ascii="Times New Roman" w:hAnsi="Times New Roman" w:cs="Times New Roman"/>
                <w:sz w:val="23"/>
                <w:szCs w:val="23"/>
              </w:rPr>
              <w:t>organizations</w:t>
            </w:r>
            <w:r w:rsidR="005009F5">
              <w:rPr>
                <w:rFonts w:ascii="Times New Roman" w:hAnsi="Times New Roman" w:cs="Times New Roman"/>
                <w:sz w:val="23"/>
                <w:szCs w:val="23"/>
              </w:rPr>
              <w:t xml:space="preserve"> and civil society institutions. These services will also be available to </w:t>
            </w:r>
            <w:r w:rsidR="006C7D15">
              <w:rPr>
                <w:rFonts w:ascii="Times New Roman" w:hAnsi="Times New Roman" w:cs="Times New Roman"/>
                <w:sz w:val="23"/>
                <w:szCs w:val="23"/>
              </w:rPr>
              <w:t>survivors under the project.</w:t>
            </w:r>
          </w:p>
        </w:tc>
      </w:tr>
      <w:tr w:rsidR="00B458BA" w:rsidRPr="00200BCF" w14:paraId="4639EAA8" w14:textId="77777777" w:rsidTr="004527A7">
        <w:trPr>
          <w:trHeight w:val="764"/>
          <w:jc w:val="right"/>
        </w:trPr>
        <w:tc>
          <w:tcPr>
            <w:tcW w:w="886" w:type="pct"/>
          </w:tcPr>
          <w:p w14:paraId="313C2E9A" w14:textId="77777777" w:rsidR="00B458BA" w:rsidRPr="00200BCF" w:rsidRDefault="00B458BA" w:rsidP="00200BCF">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lang w:val="en-GB"/>
              </w:rPr>
              <w:lastRenderedPageBreak/>
              <w:t>Does the project have the capacity to monitor the risks of harassment and gender-based violence throughout the scope and cycle of the project?</w:t>
            </w:r>
          </w:p>
        </w:tc>
        <w:tc>
          <w:tcPr>
            <w:tcW w:w="687" w:type="pct"/>
            <w:shd w:val="clear" w:color="auto" w:fill="FFF2CC"/>
            <w:vAlign w:val="center"/>
          </w:tcPr>
          <w:p w14:paraId="6CD4A55B"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Yes</w:t>
            </w:r>
          </w:p>
        </w:tc>
        <w:tc>
          <w:tcPr>
            <w:tcW w:w="675" w:type="pct"/>
            <w:shd w:val="clear" w:color="auto" w:fill="A8D08D"/>
            <w:vAlign w:val="center"/>
          </w:tcPr>
          <w:p w14:paraId="34D884FA"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Low Risk</w:t>
            </w:r>
          </w:p>
        </w:tc>
        <w:tc>
          <w:tcPr>
            <w:tcW w:w="2752" w:type="pct"/>
            <w:shd w:val="clear" w:color="auto" w:fill="auto"/>
          </w:tcPr>
          <w:p w14:paraId="749B79AD" w14:textId="77777777" w:rsidR="006C7D15" w:rsidRDefault="00B458BA" w:rsidP="00200BCF">
            <w:pPr>
              <w:spacing w:line="276" w:lineRule="auto"/>
              <w:jc w:val="both"/>
              <w:rPr>
                <w:rFonts w:ascii="Times New Roman" w:hAnsi="Times New Roman" w:cs="Times New Roman"/>
                <w:sz w:val="23"/>
                <w:szCs w:val="23"/>
              </w:rPr>
            </w:pPr>
            <w:r w:rsidRPr="00200BCF">
              <w:rPr>
                <w:rFonts w:ascii="Times New Roman" w:hAnsi="Times New Roman" w:cs="Times New Roman"/>
                <w:sz w:val="23"/>
                <w:szCs w:val="23"/>
              </w:rPr>
              <w:t xml:space="preserve">Yes, the project will adopt and resource SEAH Prevention and Response Plan and a SEA/SH focal point will be present at PIU Level. </w:t>
            </w:r>
          </w:p>
          <w:p w14:paraId="5C9420CC" w14:textId="77777777" w:rsidR="006C7D15" w:rsidRDefault="006C7D15" w:rsidP="00200BCF">
            <w:pPr>
              <w:spacing w:line="276" w:lineRule="auto"/>
              <w:jc w:val="both"/>
              <w:rPr>
                <w:rFonts w:ascii="Times New Roman" w:hAnsi="Times New Roman" w:cs="Times New Roman"/>
                <w:sz w:val="23"/>
                <w:szCs w:val="23"/>
              </w:rPr>
            </w:pPr>
          </w:p>
          <w:p w14:paraId="585E9418" w14:textId="77777777" w:rsidR="00B458BA" w:rsidRDefault="00B458BA" w:rsidP="00200BCF">
            <w:pPr>
              <w:spacing w:line="276" w:lineRule="auto"/>
              <w:jc w:val="both"/>
              <w:rPr>
                <w:rFonts w:ascii="Times New Roman" w:hAnsi="Times New Roman" w:cs="Times New Roman"/>
                <w:sz w:val="23"/>
                <w:szCs w:val="23"/>
              </w:rPr>
            </w:pPr>
            <w:r w:rsidRPr="00200BCF">
              <w:rPr>
                <w:rFonts w:ascii="Times New Roman" w:hAnsi="Times New Roman" w:cs="Times New Roman"/>
                <w:sz w:val="23"/>
                <w:szCs w:val="23"/>
              </w:rPr>
              <w:t xml:space="preserve">The project will also leverage on existing gender and GBV officer at county level to support the project.  </w:t>
            </w:r>
          </w:p>
          <w:p w14:paraId="71723A77" w14:textId="3C8ADB9C" w:rsidR="006C7D15" w:rsidRPr="00200BCF" w:rsidRDefault="006C7D15" w:rsidP="00200BCF">
            <w:pPr>
              <w:spacing w:line="276" w:lineRule="auto"/>
              <w:jc w:val="both"/>
              <w:rPr>
                <w:rFonts w:ascii="Times New Roman" w:hAnsi="Times New Roman" w:cs="Times New Roman"/>
                <w:sz w:val="23"/>
                <w:szCs w:val="23"/>
                <w:lang w:val="en-GB"/>
              </w:rPr>
            </w:pPr>
            <w:r>
              <w:rPr>
                <w:rFonts w:ascii="Times New Roman" w:hAnsi="Times New Roman" w:cs="Times New Roman"/>
                <w:sz w:val="23"/>
                <w:szCs w:val="23"/>
                <w:lang w:val="en-GB"/>
              </w:rPr>
              <w:t>The project will also form partnerships with Gender and Social Development officers located at county level who will provide monit</w:t>
            </w:r>
            <w:r w:rsidR="000C76AE">
              <w:rPr>
                <w:rFonts w:ascii="Times New Roman" w:hAnsi="Times New Roman" w:cs="Times New Roman"/>
                <w:sz w:val="23"/>
                <w:szCs w:val="23"/>
                <w:lang w:val="en-GB"/>
              </w:rPr>
              <w:t>oring of GBV incidences under the project.</w:t>
            </w:r>
          </w:p>
        </w:tc>
      </w:tr>
      <w:tr w:rsidR="00B458BA" w:rsidRPr="00200BCF" w14:paraId="19CDA67C" w14:textId="77777777" w:rsidTr="004527A7">
        <w:trPr>
          <w:trHeight w:val="764"/>
          <w:jc w:val="right"/>
        </w:trPr>
        <w:tc>
          <w:tcPr>
            <w:tcW w:w="886" w:type="pct"/>
          </w:tcPr>
          <w:p w14:paraId="36EBF996" w14:textId="77777777" w:rsidR="00B458BA" w:rsidRPr="00200BCF" w:rsidRDefault="00B458BA" w:rsidP="00200BCF">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lang w:val="en-GB"/>
              </w:rPr>
              <w:t>Do the project beneficiaries know where to get help regarding SEAH? Are there police stations with SEAH Desks? Are there toll free SEAH reporting telephone lines?</w:t>
            </w:r>
          </w:p>
        </w:tc>
        <w:tc>
          <w:tcPr>
            <w:tcW w:w="687" w:type="pct"/>
            <w:shd w:val="clear" w:color="auto" w:fill="FFF2CC"/>
            <w:vAlign w:val="center"/>
          </w:tcPr>
          <w:p w14:paraId="15D2BF12"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Yes</w:t>
            </w:r>
          </w:p>
        </w:tc>
        <w:tc>
          <w:tcPr>
            <w:tcW w:w="675" w:type="pct"/>
            <w:shd w:val="clear" w:color="auto" w:fill="FFD966" w:themeFill="accent4" w:themeFillTint="99"/>
            <w:vAlign w:val="center"/>
          </w:tcPr>
          <w:p w14:paraId="50F8C545" w14:textId="77777777" w:rsidR="00B458BA" w:rsidRPr="00200BCF" w:rsidRDefault="00B458BA" w:rsidP="004527A7">
            <w:pPr>
              <w:spacing w:line="276" w:lineRule="auto"/>
              <w:rPr>
                <w:rFonts w:ascii="Times New Roman" w:hAnsi="Times New Roman" w:cs="Times New Roman"/>
                <w:sz w:val="23"/>
                <w:szCs w:val="23"/>
                <w:lang w:val="en-GB"/>
              </w:rPr>
            </w:pPr>
            <w:r w:rsidRPr="00200BCF">
              <w:rPr>
                <w:rFonts w:ascii="Times New Roman" w:hAnsi="Times New Roman" w:cs="Times New Roman"/>
                <w:sz w:val="23"/>
                <w:szCs w:val="23"/>
                <w:lang w:val="en-GB"/>
              </w:rPr>
              <w:t>Moderate Risk</w:t>
            </w:r>
          </w:p>
        </w:tc>
        <w:tc>
          <w:tcPr>
            <w:tcW w:w="2752" w:type="pct"/>
            <w:shd w:val="clear" w:color="auto" w:fill="auto"/>
          </w:tcPr>
          <w:p w14:paraId="72B4B697" w14:textId="75744BC2" w:rsidR="00B458BA" w:rsidRPr="00200BCF" w:rsidRDefault="00B458BA" w:rsidP="00200BCF">
            <w:pPr>
              <w:spacing w:line="276" w:lineRule="auto"/>
              <w:jc w:val="both"/>
              <w:rPr>
                <w:rFonts w:ascii="Times New Roman" w:hAnsi="Times New Roman" w:cs="Times New Roman"/>
                <w:sz w:val="23"/>
                <w:szCs w:val="23"/>
                <w:lang w:val="en-GB"/>
              </w:rPr>
            </w:pPr>
            <w:r w:rsidRPr="00200BCF">
              <w:rPr>
                <w:rFonts w:ascii="Times New Roman" w:hAnsi="Times New Roman" w:cs="Times New Roman"/>
                <w:sz w:val="23"/>
                <w:szCs w:val="23"/>
              </w:rPr>
              <w:t>There is widespread awareness of SEAH risks in the Kenyan population and there exist SEAH support and care services in every county. Kindly refer table on service providers in each county</w:t>
            </w:r>
            <w:r w:rsidR="00847C14">
              <w:rPr>
                <w:rFonts w:ascii="Times New Roman" w:hAnsi="Times New Roman" w:cs="Times New Roman"/>
                <w:sz w:val="23"/>
                <w:szCs w:val="23"/>
              </w:rPr>
              <w:t>.</w:t>
            </w:r>
            <w:r w:rsidRPr="00200BCF">
              <w:rPr>
                <w:rFonts w:ascii="Times New Roman" w:hAnsi="Times New Roman" w:cs="Times New Roman"/>
                <w:sz w:val="23"/>
                <w:szCs w:val="23"/>
              </w:rPr>
              <w:t xml:space="preserve"> </w:t>
            </w:r>
            <w:r w:rsidR="00847C14" w:rsidRPr="00200BCF">
              <w:rPr>
                <w:rFonts w:ascii="Times New Roman" w:hAnsi="Times New Roman" w:cs="Times New Roman"/>
                <w:sz w:val="23"/>
                <w:szCs w:val="23"/>
              </w:rPr>
              <w:t>These,</w:t>
            </w:r>
            <w:r w:rsidRPr="00200BCF">
              <w:rPr>
                <w:rFonts w:ascii="Times New Roman" w:hAnsi="Times New Roman" w:cs="Times New Roman"/>
                <w:sz w:val="23"/>
                <w:szCs w:val="23"/>
              </w:rPr>
              <w:t xml:space="preserve"> however, may not be fully accessible to people living in the rural areas where the project will be implemented mainly due to high levels of poverty, low literacy and lack of awareness also means that communities in these rural areas most likely do not have adequate information on SEAH risks or reporting mechanisms and services available to them.</w:t>
            </w:r>
          </w:p>
        </w:tc>
      </w:tr>
      <w:tr w:rsidR="00B458BA" w:rsidRPr="00200BCF" w14:paraId="76525646" w14:textId="77777777" w:rsidTr="004527A7">
        <w:trPr>
          <w:trHeight w:val="334"/>
          <w:jc w:val="right"/>
        </w:trPr>
        <w:tc>
          <w:tcPr>
            <w:tcW w:w="886" w:type="pct"/>
          </w:tcPr>
          <w:p w14:paraId="01789E9E" w14:textId="00D14E2A" w:rsidR="00B458BA" w:rsidRPr="00200BCF" w:rsidRDefault="00B458BA" w:rsidP="004527A7">
            <w:pPr>
              <w:spacing w:line="276" w:lineRule="auto"/>
              <w:rPr>
                <w:rFonts w:ascii="Times New Roman" w:hAnsi="Times New Roman" w:cs="Times New Roman"/>
                <w:b/>
                <w:bCs/>
                <w:sz w:val="23"/>
                <w:szCs w:val="23"/>
                <w:lang w:val="en-GB"/>
              </w:rPr>
            </w:pPr>
            <w:r w:rsidRPr="00200BCF">
              <w:rPr>
                <w:rFonts w:ascii="Times New Roman" w:hAnsi="Times New Roman" w:cs="Times New Roman"/>
                <w:b/>
                <w:bCs/>
                <w:sz w:val="23"/>
                <w:szCs w:val="23"/>
                <w:lang w:val="en-GB"/>
              </w:rPr>
              <w:t>Evaluation of SEAH Risk in KDEAP</w:t>
            </w:r>
          </w:p>
        </w:tc>
        <w:tc>
          <w:tcPr>
            <w:tcW w:w="4114" w:type="pct"/>
            <w:gridSpan w:val="3"/>
            <w:shd w:val="clear" w:color="auto" w:fill="FA72B6"/>
            <w:vAlign w:val="center"/>
          </w:tcPr>
          <w:p w14:paraId="0B69D663" w14:textId="77777777" w:rsidR="00B458BA" w:rsidRPr="00200BCF" w:rsidRDefault="00B458BA" w:rsidP="004527A7">
            <w:pPr>
              <w:spacing w:line="276" w:lineRule="auto"/>
              <w:rPr>
                <w:rFonts w:ascii="Times New Roman" w:hAnsi="Times New Roman" w:cs="Times New Roman"/>
                <w:b/>
                <w:bCs/>
                <w:sz w:val="23"/>
                <w:szCs w:val="23"/>
                <w:lang w:val="en-GB"/>
              </w:rPr>
            </w:pPr>
            <w:r w:rsidRPr="00200BCF">
              <w:rPr>
                <w:rFonts w:ascii="Times New Roman" w:hAnsi="Times New Roman" w:cs="Times New Roman"/>
                <w:b/>
                <w:bCs/>
                <w:sz w:val="23"/>
                <w:szCs w:val="23"/>
                <w:lang w:val="en-GB"/>
              </w:rPr>
              <w:t>Moderate</w:t>
            </w:r>
          </w:p>
        </w:tc>
      </w:tr>
    </w:tbl>
    <w:p w14:paraId="4FC4BD9E" w14:textId="77777777" w:rsidR="00B458BA" w:rsidRPr="00200BCF" w:rsidRDefault="00B458BA" w:rsidP="00B458BA">
      <w:pPr>
        <w:spacing w:after="0" w:line="240" w:lineRule="auto"/>
        <w:jc w:val="both"/>
        <w:rPr>
          <w:rFonts w:ascii="Times New Roman" w:hAnsi="Times New Roman" w:cs="Times New Roman"/>
          <w:sz w:val="23"/>
          <w:szCs w:val="23"/>
        </w:rPr>
      </w:pPr>
    </w:p>
    <w:p w14:paraId="08AABD1C" w14:textId="26DC866C" w:rsidR="00E40716" w:rsidRPr="00D16B3D" w:rsidRDefault="00E40716" w:rsidP="00D16B3D">
      <w:pPr>
        <w:spacing w:after="0" w:line="240" w:lineRule="auto"/>
        <w:jc w:val="both"/>
        <w:rPr>
          <w:rFonts w:ascii="Times New Roman" w:hAnsi="Times New Roman" w:cs="Times New Roman"/>
          <w:sz w:val="23"/>
          <w:szCs w:val="23"/>
        </w:rPr>
      </w:pPr>
      <w:r w:rsidRPr="00D16B3D">
        <w:rPr>
          <w:rFonts w:ascii="Times New Roman" w:hAnsi="Times New Roman" w:cs="Times New Roman"/>
          <w:sz w:val="23"/>
          <w:szCs w:val="23"/>
        </w:rPr>
        <w:br w:type="page"/>
      </w:r>
    </w:p>
    <w:p w14:paraId="19259325" w14:textId="3FE376BA" w:rsidR="00E40716" w:rsidRPr="00203F3A" w:rsidRDefault="0000255F" w:rsidP="00D16B3D">
      <w:pPr>
        <w:pStyle w:val="Heading1"/>
        <w:rPr>
          <w:sz w:val="23"/>
          <w:szCs w:val="23"/>
        </w:rPr>
      </w:pPr>
      <w:bookmarkStart w:id="17" w:name="_Toc141127692"/>
      <w:r w:rsidRPr="00203F3A">
        <w:rPr>
          <w:rStyle w:val="Heading1Char"/>
          <w:b/>
          <w:bCs/>
          <w:sz w:val="23"/>
          <w:szCs w:val="23"/>
        </w:rPr>
        <w:lastRenderedPageBreak/>
        <w:t xml:space="preserve">ADDRESSING SEXUAL EXPLOITATION AND ABUSE RISKS IN THE </w:t>
      </w:r>
      <w:r w:rsidR="005E52E1" w:rsidRPr="00203F3A">
        <w:rPr>
          <w:rStyle w:val="Heading1Char"/>
          <w:b/>
          <w:bCs/>
          <w:sz w:val="23"/>
          <w:szCs w:val="23"/>
        </w:rPr>
        <w:t>KDEAP</w:t>
      </w:r>
      <w:bookmarkEnd w:id="17"/>
      <w:r w:rsidRPr="00203F3A">
        <w:rPr>
          <w:sz w:val="23"/>
          <w:szCs w:val="23"/>
        </w:rPr>
        <w:t xml:space="preserve"> </w:t>
      </w:r>
    </w:p>
    <w:p w14:paraId="5C87EF57" w14:textId="77777777" w:rsidR="0000255F" w:rsidRPr="00203F3A" w:rsidRDefault="0000255F" w:rsidP="00D16B3D">
      <w:pPr>
        <w:spacing w:after="0" w:line="240" w:lineRule="auto"/>
        <w:jc w:val="both"/>
        <w:rPr>
          <w:rFonts w:ascii="Times New Roman" w:hAnsi="Times New Roman" w:cs="Times New Roman"/>
          <w:b/>
          <w:bCs/>
          <w:sz w:val="23"/>
          <w:szCs w:val="23"/>
        </w:rPr>
      </w:pPr>
    </w:p>
    <w:p w14:paraId="518AC037" w14:textId="77777777" w:rsidR="00E40716" w:rsidRPr="00203F3A" w:rsidRDefault="00E40716" w:rsidP="00D16B3D">
      <w:pPr>
        <w:pStyle w:val="Heading2"/>
        <w:numPr>
          <w:ilvl w:val="0"/>
          <w:numId w:val="0"/>
        </w:numPr>
        <w:ind w:left="576" w:hanging="576"/>
        <w:rPr>
          <w:sz w:val="23"/>
          <w:szCs w:val="23"/>
        </w:rPr>
      </w:pPr>
      <w:bookmarkStart w:id="18" w:name="_Toc141127693"/>
      <w:r w:rsidRPr="00203F3A">
        <w:rPr>
          <w:sz w:val="23"/>
          <w:szCs w:val="23"/>
        </w:rPr>
        <w:t>4.1</w:t>
      </w:r>
      <w:r w:rsidRPr="00203F3A">
        <w:rPr>
          <w:sz w:val="23"/>
          <w:szCs w:val="23"/>
        </w:rPr>
        <w:tab/>
        <w:t>World Bank Requirements</w:t>
      </w:r>
      <w:bookmarkEnd w:id="18"/>
      <w:r w:rsidRPr="00203F3A">
        <w:rPr>
          <w:sz w:val="23"/>
          <w:szCs w:val="23"/>
        </w:rPr>
        <w:t xml:space="preserve"> </w:t>
      </w:r>
    </w:p>
    <w:p w14:paraId="143A8E68" w14:textId="77777777" w:rsidR="0000255F" w:rsidRPr="00203F3A" w:rsidRDefault="0000255F" w:rsidP="00D16B3D">
      <w:pPr>
        <w:spacing w:after="0" w:line="240" w:lineRule="auto"/>
        <w:jc w:val="both"/>
        <w:rPr>
          <w:rFonts w:ascii="Times New Roman" w:hAnsi="Times New Roman" w:cs="Times New Roman"/>
          <w:sz w:val="23"/>
          <w:szCs w:val="23"/>
        </w:rPr>
      </w:pPr>
    </w:p>
    <w:p w14:paraId="52FCECA6" w14:textId="6397110A" w:rsidR="00E40716" w:rsidRPr="00203F3A" w:rsidRDefault="00E40716" w:rsidP="00D16B3D">
      <w:pPr>
        <w:spacing w:after="0" w:line="240" w:lineRule="auto"/>
        <w:jc w:val="both"/>
        <w:rPr>
          <w:rFonts w:ascii="Times New Roman" w:hAnsi="Times New Roman" w:cs="Times New Roman"/>
          <w:sz w:val="23"/>
          <w:szCs w:val="23"/>
        </w:rPr>
      </w:pPr>
      <w:r w:rsidRPr="00203F3A">
        <w:rPr>
          <w:rFonts w:ascii="Times New Roman" w:hAnsi="Times New Roman" w:cs="Times New Roman"/>
          <w:sz w:val="23"/>
          <w:szCs w:val="23"/>
        </w:rPr>
        <w:t xml:space="preserve">The World Bank Group recognizes that World Bank-financed Projects can increase the risk of </w:t>
      </w:r>
      <w:r w:rsidR="00A65097" w:rsidRPr="00203F3A">
        <w:rPr>
          <w:rFonts w:ascii="Times New Roman" w:hAnsi="Times New Roman" w:cs="Times New Roman"/>
          <w:sz w:val="23"/>
          <w:szCs w:val="23"/>
        </w:rPr>
        <w:t xml:space="preserve">SEA/SH </w:t>
      </w:r>
      <w:r w:rsidRPr="00203F3A">
        <w:rPr>
          <w:rFonts w:ascii="Times New Roman" w:hAnsi="Times New Roman" w:cs="Times New Roman"/>
          <w:sz w:val="23"/>
          <w:szCs w:val="23"/>
        </w:rPr>
        <w:t xml:space="preserve">in both public and private spaces by a range of perpetrators in several ways. Based on the protocol laid out in the WB </w:t>
      </w:r>
      <w:r w:rsidR="00C35227" w:rsidRPr="00203F3A">
        <w:rPr>
          <w:rFonts w:ascii="Times New Roman" w:hAnsi="Times New Roman" w:cs="Times New Roman"/>
          <w:sz w:val="23"/>
          <w:szCs w:val="23"/>
        </w:rPr>
        <w:t>GBV</w:t>
      </w:r>
      <w:r w:rsidRPr="00203F3A">
        <w:rPr>
          <w:rFonts w:ascii="Times New Roman" w:hAnsi="Times New Roman" w:cs="Times New Roman"/>
          <w:sz w:val="23"/>
          <w:szCs w:val="23"/>
        </w:rPr>
        <w:t xml:space="preserve"> Good Practice Note, a </w:t>
      </w:r>
      <w:r w:rsidR="00B676FA" w:rsidRPr="00203F3A">
        <w:rPr>
          <w:rFonts w:ascii="Times New Roman" w:hAnsi="Times New Roman" w:cs="Times New Roman"/>
          <w:sz w:val="23"/>
          <w:szCs w:val="23"/>
        </w:rPr>
        <w:t>GBV (SEA/SH)</w:t>
      </w:r>
      <w:r w:rsidRPr="00203F3A">
        <w:rPr>
          <w:rFonts w:ascii="Times New Roman" w:hAnsi="Times New Roman" w:cs="Times New Roman"/>
          <w:sz w:val="23"/>
          <w:szCs w:val="23"/>
        </w:rPr>
        <w:t xml:space="preserve"> risk assessment was conducted on the </w:t>
      </w:r>
      <w:r w:rsidR="005E52E1" w:rsidRPr="00203F3A">
        <w:rPr>
          <w:rFonts w:ascii="Times New Roman" w:hAnsi="Times New Roman" w:cs="Times New Roman"/>
          <w:sz w:val="23"/>
          <w:szCs w:val="23"/>
        </w:rPr>
        <w:t>KDEAP</w:t>
      </w:r>
      <w:r w:rsidRPr="00203F3A">
        <w:rPr>
          <w:rFonts w:ascii="Times New Roman" w:hAnsi="Times New Roman" w:cs="Times New Roman"/>
          <w:sz w:val="23"/>
          <w:szCs w:val="23"/>
        </w:rPr>
        <w:t xml:space="preserve">, and it shows the likelihood of </w:t>
      </w:r>
      <w:r w:rsidR="00B676FA" w:rsidRPr="00203F3A">
        <w:rPr>
          <w:rFonts w:ascii="Times New Roman" w:hAnsi="Times New Roman" w:cs="Times New Roman"/>
          <w:sz w:val="23"/>
          <w:szCs w:val="23"/>
        </w:rPr>
        <w:t>GBV (SEA/SH)</w:t>
      </w:r>
      <w:r w:rsidRPr="00203F3A">
        <w:rPr>
          <w:rFonts w:ascii="Times New Roman" w:hAnsi="Times New Roman" w:cs="Times New Roman"/>
          <w:sz w:val="23"/>
          <w:szCs w:val="23"/>
        </w:rPr>
        <w:t xml:space="preserve"> risks related to employees. The assessment rates the level of risks at “moderate”. The following are the risk factors:</w:t>
      </w:r>
    </w:p>
    <w:p w14:paraId="3744AA2A" w14:textId="77777777" w:rsidR="0000255F" w:rsidRPr="00203F3A" w:rsidRDefault="0000255F" w:rsidP="00D16B3D">
      <w:pPr>
        <w:spacing w:after="0" w:line="240" w:lineRule="auto"/>
        <w:jc w:val="both"/>
        <w:rPr>
          <w:rFonts w:ascii="Times New Roman" w:hAnsi="Times New Roman" w:cs="Times New Roman"/>
          <w:sz w:val="23"/>
          <w:szCs w:val="23"/>
        </w:rPr>
      </w:pPr>
    </w:p>
    <w:p w14:paraId="4C0F8102" w14:textId="77777777" w:rsidR="00E40716" w:rsidRPr="00203F3A" w:rsidRDefault="00E40716" w:rsidP="00D16B3D">
      <w:pPr>
        <w:numPr>
          <w:ilvl w:val="0"/>
          <w:numId w:val="5"/>
        </w:numPr>
        <w:spacing w:after="0" w:line="240" w:lineRule="auto"/>
        <w:jc w:val="both"/>
        <w:rPr>
          <w:rFonts w:ascii="Times New Roman" w:hAnsi="Times New Roman" w:cs="Times New Roman"/>
          <w:sz w:val="23"/>
          <w:szCs w:val="23"/>
        </w:rPr>
      </w:pPr>
      <w:r w:rsidRPr="00203F3A">
        <w:rPr>
          <w:rFonts w:ascii="Times New Roman" w:hAnsi="Times New Roman" w:cs="Times New Roman"/>
          <w:sz w:val="23"/>
          <w:szCs w:val="23"/>
        </w:rPr>
        <w:t xml:space="preserve">Both national lifetime prevalence of intimate partner violence (physical and sexual) and sexual violence and child marriage are likely to occur during the life of the project. </w:t>
      </w:r>
    </w:p>
    <w:p w14:paraId="09D5085D" w14:textId="4C7DB741" w:rsidR="00E40716" w:rsidRPr="00203F3A" w:rsidRDefault="00E40716" w:rsidP="00D16B3D">
      <w:pPr>
        <w:numPr>
          <w:ilvl w:val="0"/>
          <w:numId w:val="5"/>
        </w:numPr>
        <w:spacing w:after="0" w:line="240" w:lineRule="auto"/>
        <w:jc w:val="both"/>
        <w:rPr>
          <w:rFonts w:ascii="Times New Roman" w:hAnsi="Times New Roman" w:cs="Times New Roman"/>
          <w:sz w:val="23"/>
          <w:szCs w:val="23"/>
        </w:rPr>
      </w:pPr>
      <w:r w:rsidRPr="00203F3A">
        <w:rPr>
          <w:rFonts w:ascii="Times New Roman" w:hAnsi="Times New Roman" w:cs="Times New Roman"/>
          <w:sz w:val="23"/>
          <w:szCs w:val="23"/>
        </w:rPr>
        <w:t xml:space="preserve">Risk of </w:t>
      </w:r>
      <w:r w:rsidR="00C35227" w:rsidRPr="00203F3A">
        <w:rPr>
          <w:rFonts w:ascii="Times New Roman" w:hAnsi="Times New Roman" w:cs="Times New Roman"/>
          <w:sz w:val="23"/>
          <w:szCs w:val="23"/>
        </w:rPr>
        <w:t xml:space="preserve">SEA/SH </w:t>
      </w:r>
      <w:r w:rsidRPr="00203F3A">
        <w:rPr>
          <w:rFonts w:ascii="Times New Roman" w:hAnsi="Times New Roman" w:cs="Times New Roman"/>
          <w:sz w:val="23"/>
          <w:szCs w:val="23"/>
        </w:rPr>
        <w:t xml:space="preserve">by project personnel </w:t>
      </w:r>
      <w:r w:rsidR="00A6446E" w:rsidRPr="00203F3A">
        <w:rPr>
          <w:rFonts w:ascii="Times New Roman" w:hAnsi="Times New Roman" w:cs="Times New Roman"/>
          <w:sz w:val="23"/>
          <w:szCs w:val="23"/>
        </w:rPr>
        <w:t>e.g.,</w:t>
      </w:r>
      <w:r w:rsidRPr="00203F3A">
        <w:rPr>
          <w:rFonts w:ascii="Times New Roman" w:hAnsi="Times New Roman" w:cs="Times New Roman"/>
          <w:sz w:val="23"/>
          <w:szCs w:val="23"/>
        </w:rPr>
        <w:t xml:space="preserve"> the representatives from the various financial institutions, and national treasury officials who may ask for sexual favors from women and girls</w:t>
      </w:r>
      <w:r w:rsidR="005F7736" w:rsidRPr="00203F3A">
        <w:rPr>
          <w:rFonts w:ascii="Times New Roman" w:hAnsi="Times New Roman" w:cs="Times New Roman"/>
          <w:sz w:val="23"/>
          <w:szCs w:val="23"/>
        </w:rPr>
        <w:t>.</w:t>
      </w:r>
    </w:p>
    <w:p w14:paraId="26167FEC" w14:textId="77777777" w:rsidR="005F7736" w:rsidRPr="00203F3A" w:rsidRDefault="005F7736" w:rsidP="003A06CE">
      <w:pPr>
        <w:spacing w:after="0" w:line="240" w:lineRule="auto"/>
        <w:jc w:val="both"/>
        <w:rPr>
          <w:rFonts w:ascii="Times New Roman" w:hAnsi="Times New Roman" w:cs="Times New Roman"/>
          <w:sz w:val="23"/>
          <w:szCs w:val="23"/>
        </w:rPr>
      </w:pPr>
    </w:p>
    <w:p w14:paraId="4CAE9B12" w14:textId="3203F2B2" w:rsidR="00E40716" w:rsidRPr="00203F3A" w:rsidRDefault="00E40716" w:rsidP="00D16B3D">
      <w:pPr>
        <w:pStyle w:val="Heading2"/>
        <w:numPr>
          <w:ilvl w:val="0"/>
          <w:numId w:val="0"/>
        </w:numPr>
        <w:ind w:left="576" w:hanging="576"/>
        <w:rPr>
          <w:sz w:val="23"/>
          <w:szCs w:val="23"/>
        </w:rPr>
      </w:pPr>
      <w:bookmarkStart w:id="19" w:name="_Toc141127694"/>
      <w:r w:rsidRPr="00203F3A">
        <w:rPr>
          <w:sz w:val="23"/>
          <w:szCs w:val="23"/>
        </w:rPr>
        <w:t>4.2</w:t>
      </w:r>
      <w:r w:rsidRPr="00203F3A">
        <w:rPr>
          <w:sz w:val="23"/>
          <w:szCs w:val="23"/>
        </w:rPr>
        <w:tab/>
      </w:r>
      <w:r w:rsidR="00B676FA" w:rsidRPr="00203F3A">
        <w:rPr>
          <w:sz w:val="23"/>
          <w:szCs w:val="23"/>
        </w:rPr>
        <w:t>GBV (SEA/SH)</w:t>
      </w:r>
      <w:r w:rsidRPr="00203F3A">
        <w:rPr>
          <w:sz w:val="23"/>
          <w:szCs w:val="23"/>
        </w:rPr>
        <w:t xml:space="preserve"> Programming Guiding Principles</w:t>
      </w:r>
      <w:bookmarkEnd w:id="19"/>
    </w:p>
    <w:p w14:paraId="490962A1" w14:textId="77777777" w:rsidR="0000255F" w:rsidRPr="00203F3A" w:rsidRDefault="0000255F" w:rsidP="00D16B3D">
      <w:pPr>
        <w:spacing w:after="0" w:line="240" w:lineRule="auto"/>
        <w:jc w:val="both"/>
        <w:rPr>
          <w:rFonts w:ascii="Times New Roman" w:hAnsi="Times New Roman" w:cs="Times New Roman"/>
          <w:b/>
          <w:sz w:val="23"/>
          <w:szCs w:val="23"/>
        </w:rPr>
      </w:pPr>
    </w:p>
    <w:p w14:paraId="778D4EAE" w14:textId="248F7CF3" w:rsidR="005859B0" w:rsidRPr="00203F3A" w:rsidRDefault="005F7736" w:rsidP="009924D9">
      <w:pPr>
        <w:pStyle w:val="ListParagraph"/>
        <w:numPr>
          <w:ilvl w:val="0"/>
          <w:numId w:val="22"/>
        </w:numPr>
        <w:spacing w:after="0" w:line="240" w:lineRule="auto"/>
        <w:jc w:val="both"/>
        <w:rPr>
          <w:rFonts w:ascii="Times New Roman" w:hAnsi="Times New Roman" w:cs="Times New Roman"/>
          <w:b/>
          <w:sz w:val="23"/>
          <w:szCs w:val="23"/>
        </w:rPr>
      </w:pPr>
      <w:r w:rsidRPr="00203F3A">
        <w:rPr>
          <w:rFonts w:ascii="Times New Roman" w:hAnsi="Times New Roman" w:cs="Times New Roman"/>
          <w:sz w:val="23"/>
          <w:szCs w:val="23"/>
        </w:rPr>
        <w:t>Be survivor-centered: Approach considerations related to SEA/SH mitigation and response through a survivor-centered lens, protecting the confidentiality of survivors; practicing nondiscrimination, centering their safety, and treating them with agency, dignity and respect for their needs. For adults it means following the survivor’s wishes and recognizing the survivor as the principal decision maker in their own care. For children it means ensuring that the best interest of the child is always the primary consideration in all actions concerning a child. In relation to incidents of SEA/SH involving children, the child’s wishes and opinions on their situation should be considered in determining the best interests of the child.</w:t>
      </w:r>
    </w:p>
    <w:p w14:paraId="14B39A12" w14:textId="77777777" w:rsidR="005859B0" w:rsidRPr="00203F3A" w:rsidRDefault="005F7736" w:rsidP="009924D9">
      <w:pPr>
        <w:pStyle w:val="ListParagraph"/>
        <w:numPr>
          <w:ilvl w:val="0"/>
          <w:numId w:val="22"/>
        </w:numPr>
        <w:spacing w:after="0" w:line="240" w:lineRule="auto"/>
        <w:jc w:val="both"/>
        <w:rPr>
          <w:rFonts w:ascii="Times New Roman" w:hAnsi="Times New Roman" w:cs="Times New Roman"/>
          <w:b/>
          <w:sz w:val="23"/>
          <w:szCs w:val="23"/>
        </w:rPr>
      </w:pPr>
      <w:r w:rsidRPr="00203F3A">
        <w:rPr>
          <w:rFonts w:ascii="Times New Roman" w:hAnsi="Times New Roman" w:cs="Times New Roman"/>
          <w:sz w:val="23"/>
          <w:szCs w:val="23"/>
        </w:rPr>
        <w:t xml:space="preserve">Emphasize prevention: Adopt risk-based approaches that aim to identify key risks of SEA/SH and to undertake measures to prevent or minimize harm. </w:t>
      </w:r>
    </w:p>
    <w:p w14:paraId="2CFF921B" w14:textId="77777777" w:rsidR="005859B0" w:rsidRPr="00203F3A" w:rsidRDefault="005F7736" w:rsidP="009924D9">
      <w:pPr>
        <w:pStyle w:val="ListParagraph"/>
        <w:numPr>
          <w:ilvl w:val="0"/>
          <w:numId w:val="22"/>
        </w:numPr>
        <w:spacing w:after="0" w:line="240" w:lineRule="auto"/>
        <w:jc w:val="both"/>
        <w:rPr>
          <w:rFonts w:ascii="Times New Roman" w:hAnsi="Times New Roman" w:cs="Times New Roman"/>
          <w:b/>
          <w:sz w:val="23"/>
          <w:szCs w:val="23"/>
        </w:rPr>
      </w:pPr>
      <w:r w:rsidRPr="00203F3A">
        <w:rPr>
          <w:rFonts w:ascii="Times New Roman" w:hAnsi="Times New Roman" w:cs="Times New Roman"/>
          <w:sz w:val="23"/>
          <w:szCs w:val="23"/>
        </w:rPr>
        <w:t xml:space="preserve">Build on existing local knowledge: Engage community partners—local leaders, civil society organizations, gender and child advocates—as resources for knowledge on local-level risks, effective protective factors and mechanisms for support throughout the project cycle. </w:t>
      </w:r>
    </w:p>
    <w:p w14:paraId="5D1C4490" w14:textId="77777777" w:rsidR="005859B0" w:rsidRPr="00203F3A" w:rsidRDefault="005F7736" w:rsidP="009924D9">
      <w:pPr>
        <w:pStyle w:val="ListParagraph"/>
        <w:numPr>
          <w:ilvl w:val="0"/>
          <w:numId w:val="22"/>
        </w:numPr>
        <w:spacing w:after="0" w:line="240" w:lineRule="auto"/>
        <w:jc w:val="both"/>
        <w:rPr>
          <w:rFonts w:ascii="Times New Roman" w:hAnsi="Times New Roman" w:cs="Times New Roman"/>
          <w:b/>
          <w:sz w:val="23"/>
          <w:szCs w:val="23"/>
        </w:rPr>
      </w:pPr>
      <w:r w:rsidRPr="00203F3A">
        <w:rPr>
          <w:rFonts w:ascii="Times New Roman" w:hAnsi="Times New Roman" w:cs="Times New Roman"/>
          <w:sz w:val="23"/>
          <w:szCs w:val="23"/>
        </w:rPr>
        <w:t xml:space="preserve">Be evidenced-based: Build on existing global research and knowledge on how to address GBV effectively. </w:t>
      </w:r>
    </w:p>
    <w:p w14:paraId="27708C83" w14:textId="77777777" w:rsidR="005859B0" w:rsidRPr="00203F3A" w:rsidRDefault="005F7736" w:rsidP="009924D9">
      <w:pPr>
        <w:pStyle w:val="ListParagraph"/>
        <w:numPr>
          <w:ilvl w:val="0"/>
          <w:numId w:val="22"/>
        </w:numPr>
        <w:spacing w:after="0" w:line="240" w:lineRule="auto"/>
        <w:jc w:val="both"/>
        <w:rPr>
          <w:rFonts w:ascii="Times New Roman" w:hAnsi="Times New Roman" w:cs="Times New Roman"/>
          <w:b/>
          <w:sz w:val="23"/>
          <w:szCs w:val="23"/>
        </w:rPr>
      </w:pPr>
      <w:r w:rsidRPr="00203F3A">
        <w:rPr>
          <w:rFonts w:ascii="Times New Roman" w:hAnsi="Times New Roman" w:cs="Times New Roman"/>
          <w:sz w:val="23"/>
          <w:szCs w:val="23"/>
        </w:rPr>
        <w:t xml:space="preserve">Be adaptable: Adapt and adjust prevention and mitigation measures to respond to the unique drivers and context in any given setting, using the operational guidance presented in this GPN, which provides the foundation for an effective SEA/SH risk management approach. </w:t>
      </w:r>
    </w:p>
    <w:p w14:paraId="73B0FD32" w14:textId="65D02CF6" w:rsidR="005F7736" w:rsidRPr="00203F3A" w:rsidRDefault="005F7736" w:rsidP="009924D9">
      <w:pPr>
        <w:pStyle w:val="ListParagraph"/>
        <w:numPr>
          <w:ilvl w:val="0"/>
          <w:numId w:val="22"/>
        </w:numPr>
        <w:spacing w:after="0" w:line="240" w:lineRule="auto"/>
        <w:jc w:val="both"/>
        <w:rPr>
          <w:rFonts w:ascii="Times New Roman" w:hAnsi="Times New Roman" w:cs="Times New Roman"/>
          <w:b/>
          <w:sz w:val="23"/>
          <w:szCs w:val="23"/>
        </w:rPr>
      </w:pPr>
      <w:r w:rsidRPr="00203F3A">
        <w:rPr>
          <w:rFonts w:ascii="Times New Roman" w:hAnsi="Times New Roman" w:cs="Times New Roman"/>
          <w:sz w:val="23"/>
          <w:szCs w:val="23"/>
        </w:rPr>
        <w:t>Minimize harm to survivors:  The project staff must be trained on how to preserve the confidentiality and safety of survivors while safety planning, and/or referring survivors to services. Survivors may suffer physical harm and other forms of violence if partners/perpetrators discover that they have been talking to others about their personal relationships. Because many violent partners/perpetrators control the actions of women with whom they are in a relationship, even the act of speaking to another person without their permission may trigger a woman’s abuse. As such, asking survivors or complainants about violence should be confidential, and should take place in complete privacy, with the exception of children under the age of two. Consent for any data collection, even as part of an incident case file, should be offered and if anonymity can be guaranteed, it should also be provided. Where mandatory reporting requirements apply, any complainant should be advised of this before they share information or disclose any incident of GBV.</w:t>
      </w:r>
      <w:r w:rsidRPr="00203F3A">
        <w:rPr>
          <w:rFonts w:ascii="Times New Roman" w:hAnsi="Times New Roman" w:cs="Times New Roman"/>
          <w:b/>
          <w:sz w:val="23"/>
          <w:szCs w:val="23"/>
        </w:rPr>
        <w:t xml:space="preserve"> </w:t>
      </w:r>
    </w:p>
    <w:p w14:paraId="600B524B" w14:textId="6C01A79B" w:rsidR="00E40716" w:rsidRPr="00203F3A" w:rsidRDefault="005859B0" w:rsidP="009924D9">
      <w:pPr>
        <w:pStyle w:val="ListParagraph"/>
        <w:numPr>
          <w:ilvl w:val="0"/>
          <w:numId w:val="22"/>
        </w:numPr>
        <w:spacing w:after="0" w:line="240" w:lineRule="auto"/>
        <w:jc w:val="both"/>
        <w:rPr>
          <w:rFonts w:ascii="Times New Roman" w:hAnsi="Times New Roman" w:cs="Times New Roman"/>
          <w:b/>
          <w:sz w:val="23"/>
          <w:szCs w:val="23"/>
        </w:rPr>
      </w:pPr>
      <w:r w:rsidRPr="00203F3A">
        <w:rPr>
          <w:rFonts w:ascii="Times New Roman" w:hAnsi="Times New Roman" w:cs="Times New Roman"/>
          <w:sz w:val="23"/>
          <w:szCs w:val="23"/>
        </w:rPr>
        <w:t xml:space="preserve">Enable continuous monitoring and learning: Ensure operations integrate mechanisms for regular monitoring and feedback to track effectiveness and to build internal knowledge of what works to prevent, mitigate and respond to SEA/SH. </w:t>
      </w:r>
      <w:r w:rsidR="00E40716" w:rsidRPr="00203F3A">
        <w:rPr>
          <w:rFonts w:ascii="Times New Roman" w:hAnsi="Times New Roman" w:cs="Times New Roman"/>
          <w:b/>
          <w:sz w:val="23"/>
          <w:szCs w:val="23"/>
        </w:rPr>
        <w:br w:type="page"/>
      </w:r>
    </w:p>
    <w:p w14:paraId="2D60EAAD" w14:textId="543F5318" w:rsidR="00E40716" w:rsidRPr="00203F3A" w:rsidRDefault="00B32A9A" w:rsidP="00D16B3D">
      <w:pPr>
        <w:pStyle w:val="Heading1"/>
        <w:rPr>
          <w:sz w:val="23"/>
          <w:szCs w:val="23"/>
        </w:rPr>
      </w:pPr>
      <w:bookmarkStart w:id="20" w:name="_Toc141127695"/>
      <w:r w:rsidRPr="00203F3A">
        <w:rPr>
          <w:sz w:val="23"/>
          <w:szCs w:val="23"/>
        </w:rPr>
        <w:lastRenderedPageBreak/>
        <w:t xml:space="preserve">GBV PREVENTION AND RESPONSE MECHANISM </w:t>
      </w:r>
      <w:r w:rsidR="00521C3C" w:rsidRPr="00203F3A">
        <w:rPr>
          <w:sz w:val="23"/>
          <w:szCs w:val="23"/>
        </w:rPr>
        <w:t>FOR KDEAP</w:t>
      </w:r>
      <w:bookmarkEnd w:id="20"/>
      <w:r w:rsidR="00521C3C" w:rsidRPr="00203F3A">
        <w:rPr>
          <w:sz w:val="23"/>
          <w:szCs w:val="23"/>
        </w:rPr>
        <w:t xml:space="preserve"> </w:t>
      </w:r>
    </w:p>
    <w:p w14:paraId="6E5C5503" w14:textId="77777777" w:rsidR="005E69AC" w:rsidRPr="00203F3A" w:rsidRDefault="005E69AC" w:rsidP="007449DF">
      <w:pPr>
        <w:spacing w:after="0" w:line="240" w:lineRule="auto"/>
        <w:jc w:val="both"/>
        <w:rPr>
          <w:rFonts w:ascii="Times New Roman" w:hAnsi="Times New Roman" w:cs="Times New Roman"/>
          <w:sz w:val="23"/>
          <w:szCs w:val="23"/>
        </w:rPr>
      </w:pPr>
    </w:p>
    <w:p w14:paraId="7A17CA1B" w14:textId="288ACE1A" w:rsidR="00E40716" w:rsidRDefault="00335935" w:rsidP="007449DF">
      <w:pPr>
        <w:spacing w:after="0" w:line="240" w:lineRule="auto"/>
        <w:jc w:val="both"/>
        <w:rPr>
          <w:rFonts w:ascii="Times New Roman" w:hAnsi="Times New Roman" w:cs="Times New Roman"/>
          <w:sz w:val="23"/>
          <w:szCs w:val="23"/>
        </w:rPr>
      </w:pPr>
      <w:r w:rsidRPr="00203F3A">
        <w:rPr>
          <w:rFonts w:ascii="Times New Roman" w:hAnsi="Times New Roman" w:cs="Times New Roman"/>
          <w:sz w:val="23"/>
          <w:szCs w:val="23"/>
        </w:rPr>
        <w:t>The Kenya Digital Economy Acceleration Project (KDEAP)</w:t>
      </w:r>
      <w:r w:rsidR="008E4C94" w:rsidRPr="00203F3A">
        <w:rPr>
          <w:rFonts w:ascii="Times New Roman" w:hAnsi="Times New Roman" w:cs="Times New Roman"/>
          <w:sz w:val="23"/>
          <w:szCs w:val="23"/>
        </w:rPr>
        <w:t xml:space="preserve"> </w:t>
      </w:r>
      <w:r w:rsidR="00E40716" w:rsidRPr="00203F3A">
        <w:rPr>
          <w:rFonts w:ascii="Times New Roman" w:hAnsi="Times New Roman" w:cs="Times New Roman"/>
          <w:sz w:val="23"/>
          <w:szCs w:val="23"/>
        </w:rPr>
        <w:t>make</w:t>
      </w:r>
      <w:r w:rsidR="0095507D" w:rsidRPr="00203F3A">
        <w:rPr>
          <w:rFonts w:ascii="Times New Roman" w:hAnsi="Times New Roman" w:cs="Times New Roman"/>
          <w:sz w:val="23"/>
          <w:szCs w:val="23"/>
        </w:rPr>
        <w:t>s</w:t>
      </w:r>
      <w:r w:rsidR="00E40716" w:rsidRPr="00203F3A">
        <w:rPr>
          <w:rFonts w:ascii="Times New Roman" w:hAnsi="Times New Roman" w:cs="Times New Roman"/>
          <w:sz w:val="23"/>
          <w:szCs w:val="23"/>
        </w:rPr>
        <w:t xml:space="preserve"> use of </w:t>
      </w:r>
      <w:r w:rsidR="00BD4639" w:rsidRPr="00203F3A">
        <w:rPr>
          <w:rFonts w:ascii="Times New Roman" w:hAnsi="Times New Roman" w:cs="Times New Roman"/>
          <w:sz w:val="23"/>
          <w:szCs w:val="23"/>
        </w:rPr>
        <w:t xml:space="preserve">the </w:t>
      </w:r>
      <w:r w:rsidR="008E4C94" w:rsidRPr="00203F3A">
        <w:rPr>
          <w:rFonts w:ascii="Times New Roman" w:hAnsi="Times New Roman" w:cs="Times New Roman"/>
          <w:sz w:val="23"/>
          <w:szCs w:val="23"/>
        </w:rPr>
        <w:t xml:space="preserve">ICTA’s Sexual and Gender Based Violence </w:t>
      </w:r>
      <w:r w:rsidR="005E52E1" w:rsidRPr="00203F3A">
        <w:rPr>
          <w:rFonts w:ascii="Times New Roman" w:hAnsi="Times New Roman" w:cs="Times New Roman"/>
          <w:sz w:val="23"/>
          <w:szCs w:val="23"/>
        </w:rPr>
        <w:t>Policy and</w:t>
      </w:r>
      <w:r w:rsidR="008E4C94" w:rsidRPr="00203F3A">
        <w:rPr>
          <w:rFonts w:ascii="Times New Roman" w:hAnsi="Times New Roman" w:cs="Times New Roman"/>
          <w:sz w:val="23"/>
          <w:szCs w:val="23"/>
        </w:rPr>
        <w:t xml:space="preserve"> the </w:t>
      </w:r>
      <w:r w:rsidR="00E40716" w:rsidRPr="00203F3A">
        <w:rPr>
          <w:rFonts w:ascii="Times New Roman" w:hAnsi="Times New Roman" w:cs="Times New Roman"/>
          <w:sz w:val="23"/>
          <w:szCs w:val="23"/>
        </w:rPr>
        <w:t>already existing systems for managing</w:t>
      </w:r>
      <w:r w:rsidR="005B1435" w:rsidRPr="00203F3A">
        <w:rPr>
          <w:rFonts w:ascii="Times New Roman" w:hAnsi="Times New Roman" w:cs="Times New Roman"/>
          <w:sz w:val="23"/>
          <w:szCs w:val="23"/>
        </w:rPr>
        <w:t xml:space="preserve"> </w:t>
      </w:r>
      <w:r w:rsidR="00B676FA" w:rsidRPr="00203F3A">
        <w:rPr>
          <w:rFonts w:ascii="Times New Roman" w:hAnsi="Times New Roman" w:cs="Times New Roman"/>
          <w:sz w:val="23"/>
          <w:szCs w:val="23"/>
        </w:rPr>
        <w:t>SEA/SH</w:t>
      </w:r>
      <w:r w:rsidR="00B32A9A" w:rsidRPr="00203F3A">
        <w:rPr>
          <w:rFonts w:ascii="Times New Roman" w:hAnsi="Times New Roman" w:cs="Times New Roman"/>
          <w:sz w:val="23"/>
          <w:szCs w:val="23"/>
        </w:rPr>
        <w:t xml:space="preserve"> </w:t>
      </w:r>
      <w:r w:rsidR="00E40716" w:rsidRPr="00203F3A">
        <w:rPr>
          <w:rFonts w:ascii="Times New Roman" w:hAnsi="Times New Roman" w:cs="Times New Roman"/>
          <w:sz w:val="23"/>
          <w:szCs w:val="23"/>
        </w:rPr>
        <w:t xml:space="preserve">in Kenya and will be guided by the Kenya Legal and Institutional Framework for Kenya already in place in management of the </w:t>
      </w:r>
      <w:r w:rsidR="00B676FA" w:rsidRPr="00203F3A">
        <w:rPr>
          <w:rFonts w:ascii="Times New Roman" w:hAnsi="Times New Roman" w:cs="Times New Roman"/>
          <w:sz w:val="23"/>
          <w:szCs w:val="23"/>
        </w:rPr>
        <w:t>SEA/SH</w:t>
      </w:r>
      <w:r w:rsidR="00E40716" w:rsidRPr="00203F3A">
        <w:rPr>
          <w:rFonts w:ascii="Times New Roman" w:hAnsi="Times New Roman" w:cs="Times New Roman"/>
          <w:sz w:val="23"/>
          <w:szCs w:val="23"/>
        </w:rPr>
        <w:t xml:space="preserve"> risk for the project.</w:t>
      </w:r>
    </w:p>
    <w:p w14:paraId="6E4699FB" w14:textId="77777777" w:rsidR="00DE7192" w:rsidRPr="00203F3A" w:rsidRDefault="00DE7192" w:rsidP="007449DF">
      <w:pPr>
        <w:spacing w:after="0" w:line="240" w:lineRule="auto"/>
        <w:jc w:val="both"/>
        <w:rPr>
          <w:rFonts w:ascii="Times New Roman" w:hAnsi="Times New Roman" w:cs="Times New Roman"/>
          <w:sz w:val="23"/>
          <w:szCs w:val="23"/>
        </w:rPr>
      </w:pPr>
    </w:p>
    <w:p w14:paraId="5EFABFEC" w14:textId="43274A67" w:rsidR="00DE7192" w:rsidRPr="00203F3A" w:rsidRDefault="00DE7192" w:rsidP="007449DF">
      <w:pPr>
        <w:pStyle w:val="Heading2"/>
        <w:jc w:val="both"/>
        <w:rPr>
          <w:sz w:val="23"/>
          <w:szCs w:val="23"/>
        </w:rPr>
      </w:pPr>
      <w:bookmarkStart w:id="21" w:name="_Toc141127696"/>
      <w:r w:rsidRPr="00203F3A">
        <w:rPr>
          <w:sz w:val="23"/>
          <w:szCs w:val="23"/>
        </w:rPr>
        <w:t>ICTA Gender Mainstreaming Policy (</w:t>
      </w:r>
      <w:r w:rsidR="00A1645E" w:rsidRPr="00203F3A">
        <w:rPr>
          <w:sz w:val="23"/>
          <w:szCs w:val="23"/>
        </w:rPr>
        <w:t xml:space="preserve">April </w:t>
      </w:r>
      <w:r w:rsidR="00FF142B" w:rsidRPr="00203F3A">
        <w:rPr>
          <w:sz w:val="23"/>
          <w:szCs w:val="23"/>
        </w:rPr>
        <w:t>2021)</w:t>
      </w:r>
      <w:bookmarkEnd w:id="21"/>
    </w:p>
    <w:p w14:paraId="494F4D62" w14:textId="77777777" w:rsidR="003E4EBD" w:rsidRPr="00203F3A" w:rsidRDefault="003E4EBD" w:rsidP="007449DF">
      <w:pPr>
        <w:spacing w:after="0" w:line="240" w:lineRule="auto"/>
        <w:jc w:val="both"/>
        <w:rPr>
          <w:rFonts w:ascii="Times New Roman" w:hAnsi="Times New Roman" w:cs="Times New Roman"/>
          <w:sz w:val="23"/>
          <w:szCs w:val="23"/>
        </w:rPr>
      </w:pPr>
    </w:p>
    <w:p w14:paraId="6CAE5EC1" w14:textId="456B685C" w:rsidR="00DE7192" w:rsidRPr="00203F3A" w:rsidRDefault="00DE7192" w:rsidP="007449DF">
      <w:pPr>
        <w:spacing w:after="0" w:line="240" w:lineRule="auto"/>
        <w:jc w:val="both"/>
        <w:rPr>
          <w:rFonts w:ascii="Times New Roman" w:hAnsi="Times New Roman" w:cs="Times New Roman"/>
          <w:sz w:val="23"/>
          <w:szCs w:val="23"/>
        </w:rPr>
      </w:pPr>
      <w:r w:rsidRPr="00203F3A">
        <w:rPr>
          <w:rFonts w:ascii="Times New Roman" w:hAnsi="Times New Roman" w:cs="Times New Roman"/>
          <w:sz w:val="23"/>
          <w:szCs w:val="23"/>
        </w:rPr>
        <w:t>The Gender Mainstreaming Policy for ICT Authority derives its foundation from the Constitution of Kenya 2010, which recognizes human dignity, equality</w:t>
      </w:r>
      <w:r w:rsidR="0095507D" w:rsidRPr="00203F3A">
        <w:rPr>
          <w:rFonts w:ascii="Times New Roman" w:hAnsi="Times New Roman" w:cs="Times New Roman"/>
          <w:sz w:val="23"/>
          <w:szCs w:val="23"/>
        </w:rPr>
        <w:t>,</w:t>
      </w:r>
      <w:r w:rsidRPr="00203F3A">
        <w:rPr>
          <w:rFonts w:ascii="Times New Roman" w:hAnsi="Times New Roman" w:cs="Times New Roman"/>
          <w:sz w:val="23"/>
          <w:szCs w:val="23"/>
        </w:rPr>
        <w:t xml:space="preserve"> </w:t>
      </w:r>
      <w:r w:rsidR="005B1435" w:rsidRPr="00203F3A">
        <w:rPr>
          <w:rFonts w:ascii="Times New Roman" w:hAnsi="Times New Roman" w:cs="Times New Roman"/>
          <w:sz w:val="23"/>
          <w:szCs w:val="23"/>
        </w:rPr>
        <w:t>non-discrimination,</w:t>
      </w:r>
      <w:r w:rsidRPr="00203F3A">
        <w:rPr>
          <w:rFonts w:ascii="Times New Roman" w:hAnsi="Times New Roman" w:cs="Times New Roman"/>
          <w:sz w:val="23"/>
          <w:szCs w:val="23"/>
        </w:rPr>
        <w:t xml:space="preserve"> and equity, to achieve a cohesive society for sustainable development.</w:t>
      </w:r>
      <w:r w:rsidR="008F0DCD" w:rsidRPr="00203F3A">
        <w:rPr>
          <w:rFonts w:ascii="Times New Roman" w:hAnsi="Times New Roman" w:cs="Times New Roman"/>
          <w:sz w:val="23"/>
          <w:szCs w:val="23"/>
        </w:rPr>
        <w:t xml:space="preserve"> </w:t>
      </w:r>
      <w:r w:rsidRPr="00203F3A">
        <w:rPr>
          <w:rFonts w:ascii="Times New Roman" w:hAnsi="Times New Roman" w:cs="Times New Roman"/>
          <w:sz w:val="23"/>
          <w:szCs w:val="23"/>
        </w:rPr>
        <w:t xml:space="preserve">ICT Authority is committed to the promotion and achievement of gender equality at all levels of its operations. </w:t>
      </w:r>
    </w:p>
    <w:p w14:paraId="787601AE" w14:textId="77777777" w:rsidR="00DE7192" w:rsidRPr="00203F3A" w:rsidRDefault="00DE7192" w:rsidP="007449DF">
      <w:pPr>
        <w:spacing w:after="0" w:line="240" w:lineRule="auto"/>
        <w:jc w:val="both"/>
        <w:rPr>
          <w:rFonts w:ascii="Times New Roman" w:hAnsi="Times New Roman" w:cs="Times New Roman"/>
          <w:sz w:val="23"/>
          <w:szCs w:val="23"/>
        </w:rPr>
      </w:pPr>
    </w:p>
    <w:p w14:paraId="622B5BE2" w14:textId="77777777" w:rsidR="00DE7192" w:rsidRPr="00203F3A" w:rsidRDefault="00DE7192" w:rsidP="007449DF">
      <w:pPr>
        <w:spacing w:after="0" w:line="240" w:lineRule="auto"/>
        <w:jc w:val="both"/>
        <w:rPr>
          <w:rFonts w:ascii="Times New Roman" w:hAnsi="Times New Roman" w:cs="Times New Roman"/>
          <w:sz w:val="23"/>
          <w:szCs w:val="23"/>
        </w:rPr>
      </w:pPr>
      <w:r w:rsidRPr="00203F3A">
        <w:rPr>
          <w:rFonts w:ascii="Times New Roman" w:eastAsia="Calibri" w:hAnsi="Times New Roman" w:cs="Times New Roman"/>
          <w:sz w:val="23"/>
          <w:szCs w:val="23"/>
        </w:rPr>
        <w:t xml:space="preserve">The policy provides two broad objectives and strategies for the attainment of gender equality </w:t>
      </w:r>
      <w:r w:rsidRPr="00203F3A">
        <w:rPr>
          <w:rFonts w:ascii="Times New Roman" w:hAnsi="Times New Roman" w:cs="Times New Roman"/>
          <w:sz w:val="23"/>
          <w:szCs w:val="23"/>
        </w:rPr>
        <w:t xml:space="preserve">at all levels; it also provides for the Monitoring and Evaluation (M&amp;E) for accountability and the achievement of set objectives. </w:t>
      </w:r>
    </w:p>
    <w:p w14:paraId="7FC3E34C" w14:textId="77777777" w:rsidR="00DA4741" w:rsidRPr="00203F3A" w:rsidRDefault="00DA4741" w:rsidP="007449DF">
      <w:pPr>
        <w:spacing w:after="0" w:line="240" w:lineRule="auto"/>
        <w:jc w:val="both"/>
        <w:rPr>
          <w:rFonts w:ascii="Times New Roman" w:hAnsi="Times New Roman" w:cs="Times New Roman"/>
          <w:sz w:val="23"/>
          <w:szCs w:val="23"/>
        </w:rPr>
      </w:pPr>
    </w:p>
    <w:p w14:paraId="0A081730" w14:textId="7B98197E" w:rsidR="007449DF" w:rsidRPr="00203F3A" w:rsidRDefault="004E141F" w:rsidP="007449DF">
      <w:pPr>
        <w:spacing w:after="0" w:line="240" w:lineRule="auto"/>
        <w:jc w:val="both"/>
        <w:rPr>
          <w:rFonts w:ascii="Times New Roman" w:hAnsi="Times New Roman" w:cs="Times New Roman"/>
          <w:sz w:val="23"/>
          <w:szCs w:val="23"/>
        </w:rPr>
      </w:pPr>
      <w:r w:rsidRPr="00203F3A">
        <w:rPr>
          <w:rFonts w:ascii="Times New Roman" w:hAnsi="Times New Roman" w:cs="Times New Roman"/>
          <w:sz w:val="23"/>
          <w:szCs w:val="23"/>
        </w:rPr>
        <w:t xml:space="preserve">Administration of the Gender Policy is vested in the </w:t>
      </w:r>
      <w:r w:rsidR="001C6BE8" w:rsidRPr="00203F3A">
        <w:rPr>
          <w:rFonts w:ascii="Times New Roman" w:hAnsi="Times New Roman" w:cs="Times New Roman"/>
          <w:sz w:val="23"/>
          <w:szCs w:val="23"/>
        </w:rPr>
        <w:t>Chief Executive Officer (</w:t>
      </w:r>
      <w:r w:rsidRPr="00203F3A">
        <w:rPr>
          <w:rFonts w:ascii="Times New Roman" w:hAnsi="Times New Roman" w:cs="Times New Roman"/>
          <w:sz w:val="23"/>
          <w:szCs w:val="23"/>
        </w:rPr>
        <w:t>CEO</w:t>
      </w:r>
      <w:r w:rsidR="001C6BE8" w:rsidRPr="00203F3A">
        <w:rPr>
          <w:rFonts w:ascii="Times New Roman" w:hAnsi="Times New Roman" w:cs="Times New Roman"/>
          <w:sz w:val="23"/>
          <w:szCs w:val="23"/>
        </w:rPr>
        <w:t>)</w:t>
      </w:r>
      <w:r w:rsidRPr="00203F3A">
        <w:rPr>
          <w:rFonts w:ascii="Times New Roman" w:hAnsi="Times New Roman" w:cs="Times New Roman"/>
          <w:sz w:val="23"/>
          <w:szCs w:val="23"/>
        </w:rPr>
        <w:t xml:space="preserve">, DCS and the Head, </w:t>
      </w:r>
      <w:r w:rsidR="001C6BE8" w:rsidRPr="00203F3A">
        <w:rPr>
          <w:rFonts w:ascii="Times New Roman" w:hAnsi="Times New Roman" w:cs="Times New Roman"/>
          <w:sz w:val="23"/>
          <w:szCs w:val="23"/>
        </w:rPr>
        <w:t>Human Resources (</w:t>
      </w:r>
      <w:r w:rsidRPr="00203F3A">
        <w:rPr>
          <w:rFonts w:ascii="Times New Roman" w:hAnsi="Times New Roman" w:cs="Times New Roman"/>
          <w:sz w:val="23"/>
          <w:szCs w:val="23"/>
        </w:rPr>
        <w:t>HR</w:t>
      </w:r>
      <w:r w:rsidR="001C6BE8" w:rsidRPr="00203F3A">
        <w:rPr>
          <w:rFonts w:ascii="Times New Roman" w:hAnsi="Times New Roman" w:cs="Times New Roman"/>
          <w:sz w:val="23"/>
          <w:szCs w:val="23"/>
        </w:rPr>
        <w:t>)</w:t>
      </w:r>
      <w:r w:rsidRPr="00203F3A">
        <w:rPr>
          <w:rFonts w:ascii="Times New Roman" w:hAnsi="Times New Roman" w:cs="Times New Roman"/>
          <w:sz w:val="23"/>
          <w:szCs w:val="23"/>
        </w:rPr>
        <w:t xml:space="preserve"> and Administration. Implementation of the policy shall be informed by the principle of consultation involving all the concerned parties.</w:t>
      </w:r>
      <w:r w:rsidR="007449DF" w:rsidRPr="00203F3A">
        <w:rPr>
          <w:rFonts w:ascii="Times New Roman" w:hAnsi="Times New Roman" w:cs="Times New Roman"/>
          <w:sz w:val="23"/>
          <w:szCs w:val="23"/>
        </w:rPr>
        <w:t xml:space="preserve"> the gender mainstreaming policy puts in place a gend</w:t>
      </w:r>
      <w:r w:rsidR="001C6BE8" w:rsidRPr="00203F3A">
        <w:rPr>
          <w:rFonts w:ascii="Times New Roman" w:hAnsi="Times New Roman" w:cs="Times New Roman"/>
          <w:sz w:val="23"/>
          <w:szCs w:val="23"/>
        </w:rPr>
        <w:t>e</w:t>
      </w:r>
      <w:r w:rsidR="007449DF" w:rsidRPr="00203F3A">
        <w:rPr>
          <w:rFonts w:ascii="Times New Roman" w:hAnsi="Times New Roman" w:cs="Times New Roman"/>
          <w:sz w:val="23"/>
          <w:szCs w:val="23"/>
        </w:rPr>
        <w:t>r mainstreaming committee, appointed by the CEO compris</w:t>
      </w:r>
      <w:r w:rsidR="00813B62" w:rsidRPr="00203F3A">
        <w:rPr>
          <w:rFonts w:ascii="Times New Roman" w:hAnsi="Times New Roman" w:cs="Times New Roman"/>
          <w:sz w:val="23"/>
          <w:szCs w:val="23"/>
        </w:rPr>
        <w:t>es</w:t>
      </w:r>
      <w:r w:rsidR="007449DF" w:rsidRPr="00203F3A">
        <w:rPr>
          <w:rFonts w:ascii="Times New Roman" w:hAnsi="Times New Roman" w:cs="Times New Roman"/>
          <w:sz w:val="23"/>
          <w:szCs w:val="23"/>
        </w:rPr>
        <w:t xml:space="preserve"> of: </w:t>
      </w:r>
    </w:p>
    <w:p w14:paraId="5DDFE4F1" w14:textId="77777777" w:rsidR="007449DF" w:rsidRPr="00203F3A" w:rsidRDefault="007449DF" w:rsidP="007449DF">
      <w:pPr>
        <w:spacing w:after="0" w:line="240" w:lineRule="auto"/>
        <w:jc w:val="both"/>
        <w:rPr>
          <w:rFonts w:ascii="Times New Roman" w:hAnsi="Times New Roman" w:cs="Times New Roman"/>
          <w:sz w:val="23"/>
          <w:szCs w:val="23"/>
          <w:lang w:eastAsia="ja-JP"/>
        </w:rPr>
      </w:pPr>
    </w:p>
    <w:p w14:paraId="736E5291" w14:textId="77777777" w:rsidR="007449DF" w:rsidRPr="00203F3A" w:rsidRDefault="007449DF" w:rsidP="009924D9">
      <w:pPr>
        <w:numPr>
          <w:ilvl w:val="0"/>
          <w:numId w:val="18"/>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Chairperson appointed by CEO;</w:t>
      </w:r>
    </w:p>
    <w:p w14:paraId="6A62857A" w14:textId="4D204531" w:rsidR="007449DF" w:rsidRPr="00203F3A" w:rsidRDefault="007449DF" w:rsidP="009924D9">
      <w:pPr>
        <w:numPr>
          <w:ilvl w:val="0"/>
          <w:numId w:val="18"/>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Vice Chairperson</w:t>
      </w:r>
      <w:r w:rsidR="00EC5181" w:rsidRPr="00203F3A">
        <w:rPr>
          <w:rFonts w:ascii="Times New Roman" w:hAnsi="Times New Roman" w:cs="Times New Roman"/>
          <w:sz w:val="23"/>
          <w:szCs w:val="23"/>
          <w:lang w:eastAsia="ja-JP"/>
        </w:rPr>
        <w:t>;</w:t>
      </w:r>
    </w:p>
    <w:p w14:paraId="60A77C73" w14:textId="77777777" w:rsidR="007449DF" w:rsidRPr="00203F3A" w:rsidRDefault="007449DF" w:rsidP="009924D9">
      <w:pPr>
        <w:numPr>
          <w:ilvl w:val="0"/>
          <w:numId w:val="18"/>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 xml:space="preserve">Head, HR and Administrations; </w:t>
      </w:r>
    </w:p>
    <w:p w14:paraId="145E2D88" w14:textId="7E7770ED" w:rsidR="007449DF" w:rsidRPr="00203F3A" w:rsidRDefault="007449DF" w:rsidP="009924D9">
      <w:pPr>
        <w:numPr>
          <w:ilvl w:val="0"/>
          <w:numId w:val="18"/>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Other members from other Departments</w:t>
      </w:r>
      <w:r w:rsidR="00EC5181" w:rsidRPr="00203F3A">
        <w:rPr>
          <w:rFonts w:ascii="Times New Roman" w:hAnsi="Times New Roman" w:cs="Times New Roman"/>
          <w:sz w:val="23"/>
          <w:szCs w:val="23"/>
          <w:lang w:eastAsia="ja-JP"/>
        </w:rPr>
        <w:t>;</w:t>
      </w:r>
    </w:p>
    <w:p w14:paraId="7C058781" w14:textId="6428549E" w:rsidR="007449DF" w:rsidRPr="00203F3A" w:rsidRDefault="007449DF" w:rsidP="009924D9">
      <w:pPr>
        <w:numPr>
          <w:ilvl w:val="0"/>
          <w:numId w:val="18"/>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Human Resource Officer</w:t>
      </w:r>
      <w:r w:rsidR="00EC5181" w:rsidRPr="00203F3A">
        <w:rPr>
          <w:rFonts w:ascii="Times New Roman" w:hAnsi="Times New Roman" w:cs="Times New Roman"/>
          <w:sz w:val="23"/>
          <w:szCs w:val="23"/>
          <w:lang w:eastAsia="ja-JP"/>
        </w:rPr>
        <w:t xml:space="preserve"> and</w:t>
      </w:r>
    </w:p>
    <w:p w14:paraId="7B2C5C8A" w14:textId="47343BCB" w:rsidR="007449DF" w:rsidRPr="00203F3A" w:rsidRDefault="007449DF" w:rsidP="009924D9">
      <w:pPr>
        <w:numPr>
          <w:ilvl w:val="0"/>
          <w:numId w:val="18"/>
        </w:numPr>
        <w:spacing w:after="0" w:line="240" w:lineRule="auto"/>
        <w:contextualSpacing/>
        <w:jc w:val="both"/>
        <w:rPr>
          <w:rFonts w:ascii="Times New Roman" w:eastAsia="Calibri" w:hAnsi="Times New Roman" w:cs="Times New Roman"/>
          <w:sz w:val="23"/>
          <w:szCs w:val="23"/>
        </w:rPr>
      </w:pPr>
      <w:r w:rsidRPr="00203F3A">
        <w:rPr>
          <w:rFonts w:ascii="Times New Roman" w:eastAsia="Calibri" w:hAnsi="Times New Roman" w:cs="Times New Roman"/>
          <w:sz w:val="23"/>
          <w:szCs w:val="23"/>
        </w:rPr>
        <w:t>Gender Focal Officer who shall be the Secretary</w:t>
      </w:r>
      <w:r w:rsidR="00EC5181" w:rsidRPr="00203F3A">
        <w:rPr>
          <w:rFonts w:ascii="Times New Roman" w:eastAsia="Calibri" w:hAnsi="Times New Roman" w:cs="Times New Roman"/>
          <w:sz w:val="23"/>
          <w:szCs w:val="23"/>
        </w:rPr>
        <w:t>.</w:t>
      </w:r>
    </w:p>
    <w:p w14:paraId="6FE723EC" w14:textId="77777777" w:rsidR="007449DF" w:rsidRPr="00203F3A" w:rsidRDefault="007449DF" w:rsidP="007449DF">
      <w:pPr>
        <w:tabs>
          <w:tab w:val="left" w:pos="3030"/>
        </w:tabs>
        <w:spacing w:after="0" w:line="240" w:lineRule="auto"/>
        <w:jc w:val="both"/>
        <w:rPr>
          <w:rFonts w:ascii="Times New Roman" w:eastAsia="Times New Roman" w:hAnsi="Times New Roman" w:cs="Times New Roman"/>
          <w:color w:val="000000"/>
          <w:sz w:val="23"/>
          <w:szCs w:val="23"/>
          <w:lang w:eastAsia="ja-JP"/>
        </w:rPr>
      </w:pPr>
    </w:p>
    <w:p w14:paraId="115A1670" w14:textId="30923D12" w:rsidR="007449DF" w:rsidRPr="00203F3A" w:rsidRDefault="007449DF" w:rsidP="007449DF">
      <w:pPr>
        <w:tabs>
          <w:tab w:val="left" w:pos="3030"/>
        </w:tabs>
        <w:spacing w:after="0" w:line="240" w:lineRule="auto"/>
        <w:jc w:val="both"/>
        <w:rPr>
          <w:rFonts w:ascii="Times New Roman" w:hAnsi="Times New Roman" w:cs="Times New Roman"/>
          <w:color w:val="000000"/>
          <w:sz w:val="23"/>
          <w:szCs w:val="23"/>
          <w:lang w:eastAsia="ja-JP"/>
        </w:rPr>
      </w:pPr>
      <w:r w:rsidRPr="00203F3A">
        <w:rPr>
          <w:rFonts w:ascii="Times New Roman" w:hAnsi="Times New Roman" w:cs="Times New Roman"/>
          <w:color w:val="000000"/>
          <w:sz w:val="23"/>
          <w:szCs w:val="23"/>
          <w:lang w:eastAsia="ja-JP"/>
        </w:rPr>
        <w:t xml:space="preserve">The Gender Committee </w:t>
      </w:r>
      <w:r w:rsidR="00813B62" w:rsidRPr="00203F3A">
        <w:rPr>
          <w:rFonts w:ascii="Times New Roman" w:hAnsi="Times New Roman" w:cs="Times New Roman"/>
          <w:color w:val="000000"/>
          <w:sz w:val="23"/>
          <w:szCs w:val="23"/>
          <w:lang w:eastAsia="ja-JP"/>
        </w:rPr>
        <w:t>is</w:t>
      </w:r>
      <w:r w:rsidRPr="00203F3A">
        <w:rPr>
          <w:rFonts w:ascii="Times New Roman" w:hAnsi="Times New Roman" w:cs="Times New Roman"/>
          <w:color w:val="000000"/>
          <w:sz w:val="23"/>
          <w:szCs w:val="23"/>
          <w:lang w:eastAsia="ja-JP"/>
        </w:rPr>
        <w:t xml:space="preserve"> responsible for:</w:t>
      </w:r>
    </w:p>
    <w:p w14:paraId="5CE9EA48" w14:textId="77777777" w:rsidR="007449DF" w:rsidRPr="00203F3A" w:rsidRDefault="007449DF" w:rsidP="007449DF">
      <w:pPr>
        <w:tabs>
          <w:tab w:val="left" w:pos="3030"/>
        </w:tabs>
        <w:spacing w:after="0" w:line="240" w:lineRule="auto"/>
        <w:jc w:val="both"/>
        <w:rPr>
          <w:rFonts w:ascii="Times New Roman" w:hAnsi="Times New Roman" w:cs="Times New Roman"/>
          <w:color w:val="000000"/>
          <w:sz w:val="23"/>
          <w:szCs w:val="23"/>
          <w:lang w:eastAsia="ja-JP"/>
        </w:rPr>
      </w:pPr>
    </w:p>
    <w:p w14:paraId="481B8A59" w14:textId="12DA92BD" w:rsidR="007449DF" w:rsidRPr="00203F3A"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Advocat</w:t>
      </w:r>
      <w:r w:rsidR="00813B62" w:rsidRPr="00203F3A">
        <w:rPr>
          <w:rFonts w:ascii="Times New Roman" w:hAnsi="Times New Roman" w:cs="Times New Roman"/>
          <w:sz w:val="23"/>
          <w:szCs w:val="23"/>
          <w:lang w:eastAsia="ja-JP"/>
        </w:rPr>
        <w:t>ing</w:t>
      </w:r>
      <w:r w:rsidRPr="00203F3A">
        <w:rPr>
          <w:rFonts w:ascii="Times New Roman" w:hAnsi="Times New Roman" w:cs="Times New Roman"/>
          <w:sz w:val="23"/>
          <w:szCs w:val="23"/>
          <w:lang w:eastAsia="ja-JP"/>
        </w:rPr>
        <w:t xml:space="preserve"> for compliance with the not more than 2/3rds gender principle in recruitment, career development and promotions;</w:t>
      </w:r>
    </w:p>
    <w:p w14:paraId="639752FE" w14:textId="27084BF4" w:rsidR="007449DF" w:rsidRPr="00203F3A"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Promot</w:t>
      </w:r>
      <w:r w:rsidR="00813B62" w:rsidRPr="00203F3A">
        <w:rPr>
          <w:rFonts w:ascii="Times New Roman" w:hAnsi="Times New Roman" w:cs="Times New Roman"/>
          <w:sz w:val="23"/>
          <w:szCs w:val="23"/>
          <w:lang w:eastAsia="ja-JP"/>
        </w:rPr>
        <w:t>ing</w:t>
      </w:r>
      <w:r w:rsidRPr="00203F3A">
        <w:rPr>
          <w:rFonts w:ascii="Times New Roman" w:hAnsi="Times New Roman" w:cs="Times New Roman"/>
          <w:sz w:val="23"/>
          <w:szCs w:val="23"/>
          <w:lang w:eastAsia="ja-JP"/>
        </w:rPr>
        <w:t xml:space="preserve"> employment opportunities for special interests groups ( women, youth and PWDS) through advocating for Affirmative Action;</w:t>
      </w:r>
    </w:p>
    <w:p w14:paraId="3F57D23C" w14:textId="04569BFF" w:rsidR="007449DF" w:rsidRPr="00203F3A"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Identifying gender mainstreaming concerns;</w:t>
      </w:r>
    </w:p>
    <w:p w14:paraId="27291A38" w14:textId="550DBAB2" w:rsidR="007449DF" w:rsidRPr="00203F3A"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203F3A">
        <w:rPr>
          <w:rFonts w:ascii="Times New Roman" w:hAnsi="Times New Roman" w:cs="Times New Roman"/>
          <w:sz w:val="23"/>
          <w:szCs w:val="23"/>
          <w:lang w:eastAsia="ja-JP"/>
        </w:rPr>
        <w:t>Ensur</w:t>
      </w:r>
      <w:r w:rsidR="00813B62" w:rsidRPr="00203F3A">
        <w:rPr>
          <w:rFonts w:ascii="Times New Roman" w:hAnsi="Times New Roman" w:cs="Times New Roman"/>
          <w:sz w:val="23"/>
          <w:szCs w:val="23"/>
          <w:lang w:eastAsia="ja-JP"/>
        </w:rPr>
        <w:t>ing</w:t>
      </w:r>
      <w:r w:rsidRPr="00203F3A">
        <w:rPr>
          <w:rFonts w:ascii="Times New Roman" w:hAnsi="Times New Roman" w:cs="Times New Roman"/>
          <w:sz w:val="23"/>
          <w:szCs w:val="23"/>
          <w:lang w:eastAsia="ja-JP"/>
        </w:rPr>
        <w:t xml:space="preserve"> the gender workplace policy is implemented;</w:t>
      </w:r>
    </w:p>
    <w:p w14:paraId="6EDFA8B0" w14:textId="76FC8F2B"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Promot</w:t>
      </w:r>
      <w:r w:rsidR="00813B62" w:rsidRPr="00B853BC">
        <w:rPr>
          <w:rFonts w:ascii="Times New Roman" w:hAnsi="Times New Roman" w:cs="Times New Roman"/>
          <w:sz w:val="23"/>
          <w:szCs w:val="23"/>
          <w:lang w:eastAsia="ja-JP"/>
        </w:rPr>
        <w:t>ing</w:t>
      </w:r>
      <w:r w:rsidRPr="00B853BC">
        <w:rPr>
          <w:rFonts w:ascii="Times New Roman" w:hAnsi="Times New Roman" w:cs="Times New Roman"/>
          <w:sz w:val="23"/>
          <w:szCs w:val="23"/>
          <w:lang w:eastAsia="ja-JP"/>
        </w:rPr>
        <w:t xml:space="preserve"> gender mainstreaming in programming; </w:t>
      </w:r>
    </w:p>
    <w:p w14:paraId="155759AE" w14:textId="0ABDD752"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Carrying out surveys to establish gender gaps or areas of concern;</w:t>
      </w:r>
    </w:p>
    <w:p w14:paraId="531837DC" w14:textId="77777777"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Formulating action plans and budgets once gender gaps are established;</w:t>
      </w:r>
    </w:p>
    <w:p w14:paraId="6323CFFB" w14:textId="75382BB9"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Promot</w:t>
      </w:r>
      <w:r w:rsidR="00813B62" w:rsidRPr="00B853BC">
        <w:rPr>
          <w:rFonts w:ascii="Times New Roman" w:hAnsi="Times New Roman" w:cs="Times New Roman"/>
          <w:sz w:val="23"/>
          <w:szCs w:val="23"/>
          <w:lang w:eastAsia="ja-JP"/>
        </w:rPr>
        <w:t xml:space="preserve">ing </w:t>
      </w:r>
      <w:r w:rsidRPr="00B853BC">
        <w:rPr>
          <w:rFonts w:ascii="Times New Roman" w:hAnsi="Times New Roman" w:cs="Times New Roman"/>
          <w:sz w:val="23"/>
          <w:szCs w:val="23"/>
          <w:lang w:eastAsia="ja-JP"/>
        </w:rPr>
        <w:t>continues awareness creation and sensitization for staff;</w:t>
      </w:r>
    </w:p>
    <w:p w14:paraId="6FEEC0F3" w14:textId="77777777"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Ensuring that audits and performance management are carried out on issues of gender mainstreaming;</w:t>
      </w:r>
    </w:p>
    <w:p w14:paraId="356D1247" w14:textId="06F23F89"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Monitor</w:t>
      </w:r>
      <w:r w:rsidR="00813B62" w:rsidRPr="00B853BC">
        <w:rPr>
          <w:rFonts w:ascii="Times New Roman" w:hAnsi="Times New Roman" w:cs="Times New Roman"/>
          <w:sz w:val="23"/>
          <w:szCs w:val="23"/>
          <w:lang w:eastAsia="ja-JP"/>
        </w:rPr>
        <w:t>ing</w:t>
      </w:r>
      <w:r w:rsidRPr="00B853BC">
        <w:rPr>
          <w:rFonts w:ascii="Times New Roman" w:hAnsi="Times New Roman" w:cs="Times New Roman"/>
          <w:sz w:val="23"/>
          <w:szCs w:val="23"/>
          <w:lang w:eastAsia="ja-JP"/>
        </w:rPr>
        <w:t xml:space="preserve"> and audit</w:t>
      </w:r>
      <w:r w:rsidR="00727DF5" w:rsidRPr="00B853BC">
        <w:rPr>
          <w:rFonts w:ascii="Times New Roman" w:hAnsi="Times New Roman" w:cs="Times New Roman"/>
          <w:sz w:val="23"/>
          <w:szCs w:val="23"/>
          <w:lang w:eastAsia="ja-JP"/>
        </w:rPr>
        <w:t>ing</w:t>
      </w:r>
      <w:r w:rsidRPr="00B853BC">
        <w:rPr>
          <w:rFonts w:ascii="Times New Roman" w:hAnsi="Times New Roman" w:cs="Times New Roman"/>
          <w:sz w:val="23"/>
          <w:szCs w:val="23"/>
          <w:lang w:eastAsia="ja-JP"/>
        </w:rPr>
        <w:t xml:space="preserve"> implantation and compliance of the policy;</w:t>
      </w:r>
    </w:p>
    <w:p w14:paraId="34630C21" w14:textId="167C30D5"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Develop</w:t>
      </w:r>
      <w:r w:rsidR="00813B62" w:rsidRPr="00B853BC">
        <w:rPr>
          <w:rFonts w:ascii="Times New Roman" w:hAnsi="Times New Roman" w:cs="Times New Roman"/>
          <w:sz w:val="23"/>
          <w:szCs w:val="23"/>
          <w:lang w:eastAsia="ja-JP"/>
        </w:rPr>
        <w:t xml:space="preserve">ing </w:t>
      </w:r>
      <w:r w:rsidRPr="00B853BC">
        <w:rPr>
          <w:rFonts w:ascii="Times New Roman" w:hAnsi="Times New Roman" w:cs="Times New Roman"/>
          <w:sz w:val="23"/>
          <w:szCs w:val="23"/>
          <w:lang w:eastAsia="ja-JP"/>
        </w:rPr>
        <w:t>annual work</w:t>
      </w:r>
      <w:r w:rsidR="00727DF5" w:rsidRPr="00B853BC">
        <w:rPr>
          <w:rFonts w:ascii="Times New Roman" w:hAnsi="Times New Roman" w:cs="Times New Roman"/>
          <w:sz w:val="23"/>
          <w:szCs w:val="23"/>
          <w:lang w:eastAsia="ja-JP"/>
        </w:rPr>
        <w:t xml:space="preserve"> </w:t>
      </w:r>
      <w:r w:rsidRPr="00B853BC">
        <w:rPr>
          <w:rFonts w:ascii="Times New Roman" w:hAnsi="Times New Roman" w:cs="Times New Roman"/>
          <w:sz w:val="23"/>
          <w:szCs w:val="23"/>
          <w:lang w:eastAsia="ja-JP"/>
        </w:rPr>
        <w:t>plans for gender mainstreaming in line with the ICTA strategic plan and policies</w:t>
      </w:r>
      <w:r w:rsidR="00016EEC" w:rsidRPr="00B853BC">
        <w:rPr>
          <w:rFonts w:ascii="Times New Roman" w:hAnsi="Times New Roman" w:cs="Times New Roman"/>
          <w:sz w:val="23"/>
          <w:szCs w:val="23"/>
          <w:lang w:eastAsia="ja-JP"/>
        </w:rPr>
        <w:t>;</w:t>
      </w:r>
    </w:p>
    <w:p w14:paraId="56D51BC3" w14:textId="2E020EE8"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Advis</w:t>
      </w:r>
      <w:r w:rsidR="00813B62" w:rsidRPr="00B853BC">
        <w:rPr>
          <w:rFonts w:ascii="Times New Roman" w:hAnsi="Times New Roman" w:cs="Times New Roman"/>
          <w:sz w:val="23"/>
          <w:szCs w:val="23"/>
          <w:lang w:eastAsia="ja-JP"/>
        </w:rPr>
        <w:t>ing</w:t>
      </w:r>
      <w:r w:rsidRPr="00B853BC">
        <w:rPr>
          <w:rFonts w:ascii="Times New Roman" w:hAnsi="Times New Roman" w:cs="Times New Roman"/>
          <w:sz w:val="23"/>
          <w:szCs w:val="23"/>
          <w:lang w:eastAsia="ja-JP"/>
        </w:rPr>
        <w:t xml:space="preserve"> Management and other relevant bodies on gender mainstreaming; and  </w:t>
      </w:r>
    </w:p>
    <w:p w14:paraId="4896F682" w14:textId="356A087D" w:rsidR="007449DF" w:rsidRPr="00B853BC" w:rsidRDefault="007449DF" w:rsidP="009924D9">
      <w:pPr>
        <w:numPr>
          <w:ilvl w:val="0"/>
          <w:numId w:val="20"/>
        </w:numPr>
        <w:spacing w:after="0" w:line="240" w:lineRule="auto"/>
        <w:contextualSpacing/>
        <w:jc w:val="both"/>
        <w:rPr>
          <w:rFonts w:ascii="Times New Roman" w:hAnsi="Times New Roman" w:cs="Times New Roman"/>
          <w:sz w:val="23"/>
          <w:szCs w:val="23"/>
          <w:lang w:eastAsia="ja-JP"/>
        </w:rPr>
      </w:pPr>
      <w:r w:rsidRPr="00B853BC">
        <w:rPr>
          <w:rFonts w:ascii="Times New Roman" w:hAnsi="Times New Roman" w:cs="Times New Roman"/>
          <w:sz w:val="23"/>
          <w:szCs w:val="23"/>
          <w:lang w:eastAsia="ja-JP"/>
        </w:rPr>
        <w:t xml:space="preserve">Advising Management in the event there is </w:t>
      </w:r>
      <w:r w:rsidR="00727DF5" w:rsidRPr="00B853BC">
        <w:rPr>
          <w:rFonts w:ascii="Times New Roman" w:hAnsi="Times New Roman" w:cs="Times New Roman"/>
          <w:sz w:val="23"/>
          <w:szCs w:val="23"/>
          <w:lang w:eastAsia="ja-JP"/>
        </w:rPr>
        <w:t xml:space="preserve">a </w:t>
      </w:r>
      <w:r w:rsidRPr="00B853BC">
        <w:rPr>
          <w:rFonts w:ascii="Times New Roman" w:hAnsi="Times New Roman" w:cs="Times New Roman"/>
          <w:sz w:val="23"/>
          <w:szCs w:val="23"/>
          <w:lang w:eastAsia="ja-JP"/>
        </w:rPr>
        <w:t xml:space="preserve">violation of this policy. </w:t>
      </w:r>
    </w:p>
    <w:p w14:paraId="039209D7" w14:textId="77777777" w:rsidR="002163CC" w:rsidRDefault="002163CC" w:rsidP="007449DF">
      <w:pPr>
        <w:spacing w:after="0" w:line="240" w:lineRule="auto"/>
        <w:contextualSpacing/>
        <w:jc w:val="both"/>
        <w:rPr>
          <w:rFonts w:ascii="Times New Roman" w:eastAsia="Calibri" w:hAnsi="Times New Roman" w:cs="Times New Roman"/>
          <w:sz w:val="23"/>
          <w:szCs w:val="23"/>
        </w:rPr>
      </w:pPr>
    </w:p>
    <w:p w14:paraId="6AD29ED2" w14:textId="77777777" w:rsidR="00ED71BC" w:rsidRDefault="00ED71BC" w:rsidP="007449DF">
      <w:pPr>
        <w:spacing w:after="0" w:line="240" w:lineRule="auto"/>
        <w:contextualSpacing/>
        <w:jc w:val="both"/>
        <w:rPr>
          <w:rFonts w:ascii="Times New Roman" w:eastAsia="Calibri" w:hAnsi="Times New Roman" w:cs="Times New Roman"/>
          <w:sz w:val="23"/>
          <w:szCs w:val="23"/>
        </w:rPr>
      </w:pPr>
    </w:p>
    <w:p w14:paraId="5105945F" w14:textId="4782E4D8" w:rsidR="007449DF" w:rsidRPr="00B853BC" w:rsidRDefault="007449DF" w:rsidP="007449DF">
      <w:p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lastRenderedPageBreak/>
        <w:t xml:space="preserve">The gender mainstreaming policy also put in place a Gender Focal Office who is responsible for: </w:t>
      </w:r>
    </w:p>
    <w:p w14:paraId="27B97056" w14:textId="77777777" w:rsidR="007449DF" w:rsidRPr="00B853BC" w:rsidRDefault="007449DF" w:rsidP="009924D9">
      <w:pPr>
        <w:numPr>
          <w:ilvl w:val="0"/>
          <w:numId w:val="19"/>
        </w:num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Promoting gender sensitivity and synergies throughout all the Authority;  </w:t>
      </w:r>
    </w:p>
    <w:p w14:paraId="10175316" w14:textId="77777777" w:rsidR="007449DF" w:rsidRPr="00B853BC" w:rsidRDefault="007449DF" w:rsidP="009924D9">
      <w:pPr>
        <w:numPr>
          <w:ilvl w:val="0"/>
          <w:numId w:val="19"/>
        </w:num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Enhancing awareness and skills of staff in considering differences between men and women when designing, implementing, monitoring and evaluating programs; </w:t>
      </w:r>
    </w:p>
    <w:p w14:paraId="69DB1D2D" w14:textId="5215BD1E" w:rsidR="007449DF" w:rsidRPr="00B853BC" w:rsidRDefault="007449DF" w:rsidP="009924D9">
      <w:pPr>
        <w:numPr>
          <w:ilvl w:val="0"/>
          <w:numId w:val="19"/>
        </w:num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Gathering gender</w:t>
      </w:r>
      <w:r w:rsidR="00727DF5" w:rsidRPr="00B853BC">
        <w:rPr>
          <w:rFonts w:ascii="Times New Roman" w:eastAsia="Calibri" w:hAnsi="Times New Roman" w:cs="Times New Roman"/>
          <w:sz w:val="23"/>
          <w:szCs w:val="23"/>
        </w:rPr>
        <w:t>-</w:t>
      </w:r>
      <w:r w:rsidRPr="00B853BC">
        <w:rPr>
          <w:rFonts w:ascii="Times New Roman" w:eastAsia="Calibri" w:hAnsi="Times New Roman" w:cs="Times New Roman"/>
          <w:sz w:val="23"/>
          <w:szCs w:val="23"/>
        </w:rPr>
        <w:t>related materials and data on gender issues;</w:t>
      </w:r>
    </w:p>
    <w:p w14:paraId="15FB2B4E" w14:textId="77777777" w:rsidR="007449DF" w:rsidRPr="00B853BC" w:rsidRDefault="007449DF" w:rsidP="009924D9">
      <w:pPr>
        <w:numPr>
          <w:ilvl w:val="0"/>
          <w:numId w:val="19"/>
        </w:num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Conducting a systematic review of the Authority procedures to put in place gender analysis as part of programming or improving the existing systems; </w:t>
      </w:r>
    </w:p>
    <w:p w14:paraId="5FB90EA6" w14:textId="055D0A21" w:rsidR="007449DF" w:rsidRPr="00B853BC" w:rsidRDefault="007449DF" w:rsidP="009924D9">
      <w:pPr>
        <w:numPr>
          <w:ilvl w:val="0"/>
          <w:numId w:val="19"/>
        </w:num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Facilitating the development of gender</w:t>
      </w:r>
      <w:r w:rsidR="00727DF5" w:rsidRPr="00B853BC">
        <w:rPr>
          <w:rFonts w:ascii="Times New Roman" w:eastAsia="Calibri" w:hAnsi="Times New Roman" w:cs="Times New Roman"/>
          <w:sz w:val="23"/>
          <w:szCs w:val="23"/>
        </w:rPr>
        <w:t>-</w:t>
      </w:r>
      <w:r w:rsidRPr="00B853BC">
        <w:rPr>
          <w:rFonts w:ascii="Times New Roman" w:eastAsia="Calibri" w:hAnsi="Times New Roman" w:cs="Times New Roman"/>
          <w:sz w:val="23"/>
          <w:szCs w:val="23"/>
        </w:rPr>
        <w:t>sensitive performance indicators as part of program components to monitor and evaluate progress;</w:t>
      </w:r>
    </w:p>
    <w:p w14:paraId="5973E2CD" w14:textId="5D5A52B4" w:rsidR="007449DF" w:rsidRPr="00B853BC" w:rsidRDefault="007449DF" w:rsidP="009924D9">
      <w:pPr>
        <w:numPr>
          <w:ilvl w:val="0"/>
          <w:numId w:val="19"/>
        </w:num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Recommending </w:t>
      </w:r>
      <w:r w:rsidR="00727DF5" w:rsidRPr="00B853BC">
        <w:rPr>
          <w:rFonts w:ascii="Times New Roman" w:eastAsia="Calibri" w:hAnsi="Times New Roman" w:cs="Times New Roman"/>
          <w:sz w:val="23"/>
          <w:szCs w:val="23"/>
        </w:rPr>
        <w:t xml:space="preserve">the </w:t>
      </w:r>
      <w:r w:rsidRPr="00B853BC">
        <w:rPr>
          <w:rFonts w:ascii="Times New Roman" w:eastAsia="Calibri" w:hAnsi="Times New Roman" w:cs="Times New Roman"/>
          <w:sz w:val="23"/>
          <w:szCs w:val="23"/>
        </w:rPr>
        <w:t>creation of structures to ensure gender balance; and promotion of equal opportunities for women especially in recruitment and training; and</w:t>
      </w:r>
    </w:p>
    <w:p w14:paraId="4DD0ACE9" w14:textId="1A91976B" w:rsidR="007449DF" w:rsidRPr="00B853BC" w:rsidRDefault="007449DF" w:rsidP="009924D9">
      <w:pPr>
        <w:numPr>
          <w:ilvl w:val="0"/>
          <w:numId w:val="19"/>
        </w:numPr>
        <w:spacing w:after="0" w:line="240" w:lineRule="auto"/>
        <w:contextualSpacing/>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Monitoring, review</w:t>
      </w:r>
      <w:r w:rsidR="00727DF5" w:rsidRPr="00B853BC">
        <w:rPr>
          <w:rFonts w:ascii="Times New Roman" w:eastAsia="Calibri" w:hAnsi="Times New Roman" w:cs="Times New Roman"/>
          <w:sz w:val="23"/>
          <w:szCs w:val="23"/>
        </w:rPr>
        <w:t>ing</w:t>
      </w:r>
      <w:r w:rsidRPr="00B853BC">
        <w:rPr>
          <w:rFonts w:ascii="Times New Roman" w:eastAsia="Calibri" w:hAnsi="Times New Roman" w:cs="Times New Roman"/>
          <w:sz w:val="23"/>
          <w:szCs w:val="23"/>
        </w:rPr>
        <w:t xml:space="preserve"> and apprais</w:t>
      </w:r>
      <w:r w:rsidR="00727DF5" w:rsidRPr="00B853BC">
        <w:rPr>
          <w:rFonts w:ascii="Times New Roman" w:eastAsia="Calibri" w:hAnsi="Times New Roman" w:cs="Times New Roman"/>
          <w:sz w:val="23"/>
          <w:szCs w:val="23"/>
        </w:rPr>
        <w:t>ing</w:t>
      </w:r>
      <w:r w:rsidRPr="00B853BC">
        <w:rPr>
          <w:rFonts w:ascii="Times New Roman" w:eastAsia="Calibri" w:hAnsi="Times New Roman" w:cs="Times New Roman"/>
          <w:sz w:val="23"/>
          <w:szCs w:val="23"/>
        </w:rPr>
        <w:t xml:space="preserve"> gender responsiveness as a key performance result area. </w:t>
      </w:r>
    </w:p>
    <w:p w14:paraId="57E02D07" w14:textId="77777777" w:rsidR="007449DF" w:rsidRPr="00B853BC" w:rsidRDefault="007449DF" w:rsidP="007449DF">
      <w:pPr>
        <w:spacing w:after="0" w:line="240" w:lineRule="auto"/>
        <w:jc w:val="both"/>
        <w:rPr>
          <w:rFonts w:ascii="Times New Roman" w:hAnsi="Times New Roman" w:cs="Times New Roman"/>
          <w:sz w:val="23"/>
          <w:szCs w:val="23"/>
        </w:rPr>
      </w:pPr>
    </w:p>
    <w:p w14:paraId="7C0C79A7" w14:textId="4DE7FCF5" w:rsidR="00DA4741" w:rsidRPr="00B853BC" w:rsidRDefault="00DA4741" w:rsidP="007449D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The Authority Board is committed to advancing Gender and equality throughout the organization and its </w:t>
      </w:r>
      <w:proofErr w:type="spellStart"/>
      <w:r w:rsidRPr="00B853BC">
        <w:rPr>
          <w:rFonts w:ascii="Times New Roman" w:hAnsi="Times New Roman" w:cs="Times New Roman"/>
          <w:sz w:val="23"/>
          <w:szCs w:val="23"/>
        </w:rPr>
        <w:t>programme</w:t>
      </w:r>
      <w:proofErr w:type="spellEnd"/>
      <w:r w:rsidRPr="00B853BC">
        <w:rPr>
          <w:rFonts w:ascii="Times New Roman" w:hAnsi="Times New Roman" w:cs="Times New Roman"/>
          <w:sz w:val="23"/>
          <w:szCs w:val="23"/>
        </w:rPr>
        <w:t>. The ICT Authority Board will improve the ability of men and women to work creatively and effectively in the organization.</w:t>
      </w:r>
    </w:p>
    <w:p w14:paraId="0E57C6AD" w14:textId="77777777" w:rsidR="00DA4741" w:rsidRPr="00B853BC" w:rsidRDefault="00DA4741" w:rsidP="007449DF">
      <w:pPr>
        <w:spacing w:after="0" w:line="240" w:lineRule="auto"/>
        <w:jc w:val="both"/>
        <w:rPr>
          <w:rFonts w:ascii="Times New Roman" w:hAnsi="Times New Roman" w:cs="Times New Roman"/>
          <w:sz w:val="23"/>
          <w:szCs w:val="23"/>
        </w:rPr>
      </w:pPr>
    </w:p>
    <w:p w14:paraId="05A3F162" w14:textId="5E6A9912" w:rsidR="00DA4741" w:rsidRPr="00B853BC" w:rsidRDefault="00DA4741" w:rsidP="007449D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The Authority believes that women and men are actors in and beneficiaries of development. Sustainable socio-economic development calls for participation by all. Thus, integrating gender perspectives into </w:t>
      </w:r>
      <w:r w:rsidR="00727DF5" w:rsidRPr="00B853BC">
        <w:rPr>
          <w:rFonts w:ascii="Times New Roman" w:hAnsi="Times New Roman" w:cs="Times New Roman"/>
          <w:sz w:val="23"/>
          <w:szCs w:val="23"/>
        </w:rPr>
        <w:t xml:space="preserve">the </w:t>
      </w:r>
      <w:r w:rsidRPr="00B853BC">
        <w:rPr>
          <w:rFonts w:ascii="Times New Roman" w:hAnsi="Times New Roman" w:cs="Times New Roman"/>
          <w:sz w:val="23"/>
          <w:szCs w:val="23"/>
        </w:rPr>
        <w:t>activities of the Authority is sound public governance and will help to strengthen the impact of gender mainstreaming. The Policy guide</w:t>
      </w:r>
      <w:r w:rsidR="00AB47A5" w:rsidRPr="00B853BC">
        <w:rPr>
          <w:rFonts w:ascii="Times New Roman" w:hAnsi="Times New Roman" w:cs="Times New Roman"/>
          <w:sz w:val="23"/>
          <w:szCs w:val="23"/>
        </w:rPr>
        <w:t>s</w:t>
      </w:r>
      <w:r w:rsidRPr="00B853BC">
        <w:rPr>
          <w:rFonts w:ascii="Times New Roman" w:hAnsi="Times New Roman" w:cs="Times New Roman"/>
          <w:sz w:val="23"/>
          <w:szCs w:val="23"/>
        </w:rPr>
        <w:t xml:space="preserve"> the Authority in leading positive transformation around quality service delivery with a view of having equality, equity and full enjoyment of human rights by all.</w:t>
      </w:r>
      <w:r w:rsidR="00AB47A5" w:rsidRPr="00B853BC">
        <w:rPr>
          <w:rFonts w:ascii="Times New Roman" w:hAnsi="Times New Roman" w:cs="Times New Roman"/>
          <w:sz w:val="23"/>
          <w:szCs w:val="23"/>
        </w:rPr>
        <w:t xml:space="preserve"> The Policy covers the following areas:</w:t>
      </w:r>
    </w:p>
    <w:p w14:paraId="413D9BAC" w14:textId="77777777" w:rsidR="008F3ECA" w:rsidRPr="00B853BC" w:rsidRDefault="008F3ECA" w:rsidP="007449DF">
      <w:pPr>
        <w:spacing w:after="0" w:line="240" w:lineRule="auto"/>
        <w:jc w:val="both"/>
        <w:rPr>
          <w:rFonts w:ascii="Times New Roman" w:hAnsi="Times New Roman" w:cs="Times New Roman"/>
          <w:sz w:val="23"/>
          <w:szCs w:val="23"/>
        </w:rPr>
      </w:pPr>
    </w:p>
    <w:p w14:paraId="0B5C0F99" w14:textId="68144639" w:rsidR="008F3ECA" w:rsidRPr="00B853BC" w:rsidRDefault="001A4F30" w:rsidP="009924D9">
      <w:pPr>
        <w:pStyle w:val="ListParagraph"/>
        <w:numPr>
          <w:ilvl w:val="0"/>
          <w:numId w:val="2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Recruitment and selection: </w:t>
      </w:r>
      <w:r w:rsidR="008F3ECA" w:rsidRPr="00B853BC">
        <w:rPr>
          <w:rFonts w:ascii="Times New Roman" w:hAnsi="Times New Roman" w:cs="Times New Roman"/>
          <w:sz w:val="23"/>
          <w:szCs w:val="23"/>
        </w:rPr>
        <w:t>To promote fair recruitment and selection practices, retention, equal distribution of working resources and improve gender balance in the organization.</w:t>
      </w:r>
    </w:p>
    <w:p w14:paraId="1BF3C0A2" w14:textId="259A1E66" w:rsidR="00AA7776" w:rsidRPr="00B853BC" w:rsidRDefault="00882A64" w:rsidP="009924D9">
      <w:pPr>
        <w:pStyle w:val="ListParagraph"/>
        <w:numPr>
          <w:ilvl w:val="0"/>
          <w:numId w:val="21"/>
        </w:numPr>
        <w:spacing w:after="0" w:line="240" w:lineRule="auto"/>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Training and career development: </w:t>
      </w:r>
      <w:r w:rsidR="00AA7776" w:rsidRPr="00B853BC">
        <w:rPr>
          <w:rFonts w:ascii="Times New Roman" w:eastAsia="Calibri" w:hAnsi="Times New Roman" w:cs="Times New Roman"/>
          <w:sz w:val="23"/>
          <w:szCs w:val="23"/>
        </w:rPr>
        <w:t>To promote fair training and career development practices, equal distribution of training opportunities and improve gender balance in the organization.</w:t>
      </w:r>
    </w:p>
    <w:p w14:paraId="091DD578" w14:textId="3A7F2008" w:rsidR="00826A29" w:rsidRPr="00B853BC" w:rsidRDefault="00826A29" w:rsidP="009924D9">
      <w:pPr>
        <w:pStyle w:val="ListParagraph"/>
        <w:numPr>
          <w:ilvl w:val="0"/>
          <w:numId w:val="21"/>
        </w:numPr>
        <w:spacing w:after="0" w:line="240" w:lineRule="auto"/>
        <w:jc w:val="both"/>
        <w:rPr>
          <w:rFonts w:ascii="Times New Roman" w:hAnsi="Times New Roman" w:cs="Times New Roman"/>
          <w:sz w:val="23"/>
          <w:szCs w:val="23"/>
        </w:rPr>
      </w:pPr>
      <w:r w:rsidRPr="00B853BC">
        <w:rPr>
          <w:rFonts w:ascii="Times New Roman" w:eastAsia="Calibri" w:hAnsi="Times New Roman" w:cs="Times New Roman"/>
          <w:sz w:val="23"/>
          <w:szCs w:val="23"/>
        </w:rPr>
        <w:t xml:space="preserve">Gender and governance:  </w:t>
      </w:r>
      <w:r w:rsidRPr="00B853BC">
        <w:rPr>
          <w:rFonts w:ascii="Times New Roman" w:hAnsi="Times New Roman" w:cs="Times New Roman"/>
          <w:sz w:val="23"/>
          <w:szCs w:val="23"/>
        </w:rPr>
        <w:t>The Objective is to promote equity and equality between men and women at the Authority in line with the National values and principles of inclusivity.</w:t>
      </w:r>
    </w:p>
    <w:p w14:paraId="10288793" w14:textId="05DD7140" w:rsidR="00E16A5D" w:rsidRPr="00B853BC" w:rsidRDefault="00E16A5D" w:rsidP="009924D9">
      <w:pPr>
        <w:pStyle w:val="ListParagraph"/>
        <w:numPr>
          <w:ilvl w:val="0"/>
          <w:numId w:val="21"/>
        </w:numPr>
        <w:spacing w:after="0" w:line="240" w:lineRule="auto"/>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Gender</w:t>
      </w:r>
      <w:r w:rsidR="00727DF5" w:rsidRPr="00B853BC">
        <w:rPr>
          <w:rFonts w:ascii="Times New Roman" w:eastAsia="Calibri" w:hAnsi="Times New Roman" w:cs="Times New Roman"/>
          <w:sz w:val="23"/>
          <w:szCs w:val="23"/>
        </w:rPr>
        <w:t>-</w:t>
      </w:r>
      <w:r w:rsidRPr="00B853BC">
        <w:rPr>
          <w:rFonts w:ascii="Times New Roman" w:eastAsia="Calibri" w:hAnsi="Times New Roman" w:cs="Times New Roman"/>
          <w:sz w:val="23"/>
          <w:szCs w:val="23"/>
        </w:rPr>
        <w:t xml:space="preserve">based violence and sexual harassment: To ensure that employees treat each other with respect and dignity without engaging in relationships that may be construed by </w:t>
      </w:r>
      <w:r w:rsidR="00727DF5" w:rsidRPr="00B853BC">
        <w:rPr>
          <w:rFonts w:ascii="Times New Roman" w:eastAsia="Calibri" w:hAnsi="Times New Roman" w:cs="Times New Roman"/>
          <w:sz w:val="23"/>
          <w:szCs w:val="23"/>
        </w:rPr>
        <w:t xml:space="preserve">the </w:t>
      </w:r>
      <w:r w:rsidRPr="00B853BC">
        <w:rPr>
          <w:rFonts w:ascii="Times New Roman" w:eastAsia="Calibri" w:hAnsi="Times New Roman" w:cs="Times New Roman"/>
          <w:sz w:val="23"/>
          <w:szCs w:val="23"/>
        </w:rPr>
        <w:t>general public to be immoral and not sexually harass other officers either covertly or overtly</w:t>
      </w:r>
      <w:r w:rsidR="00016EEC" w:rsidRPr="00B853BC">
        <w:rPr>
          <w:rFonts w:ascii="Times New Roman" w:eastAsia="Calibri" w:hAnsi="Times New Roman" w:cs="Times New Roman"/>
          <w:sz w:val="23"/>
          <w:szCs w:val="23"/>
        </w:rPr>
        <w:t>.</w:t>
      </w:r>
    </w:p>
    <w:p w14:paraId="7B7F2E3C" w14:textId="294B97F1" w:rsidR="00AA418F" w:rsidRPr="00B853BC" w:rsidRDefault="00AA418F" w:rsidP="009924D9">
      <w:pPr>
        <w:pStyle w:val="ListParagraph"/>
        <w:numPr>
          <w:ilvl w:val="0"/>
          <w:numId w:val="21"/>
        </w:numPr>
        <w:spacing w:after="0" w:line="240" w:lineRule="auto"/>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Human and financial resources: To facilitate gender mainstreaming initiatives in the organization, ICTA </w:t>
      </w:r>
      <w:r w:rsidRPr="00B853BC">
        <w:rPr>
          <w:rFonts w:ascii="Times New Roman" w:eastAsia="Calibri" w:hAnsi="Times New Roman" w:cs="Times New Roman"/>
          <w:sz w:val="23"/>
          <w:szCs w:val="23"/>
        </w:rPr>
        <w:tab/>
        <w:t>will enhance human and financial resources to facilitate gender activities, engender the corporate budgeting process and promote linkages and collaborations in resources mobilizations for gender mainstreaming.</w:t>
      </w:r>
    </w:p>
    <w:p w14:paraId="32745396" w14:textId="451C91A9" w:rsidR="00AC3902" w:rsidRPr="00B853BC" w:rsidRDefault="00AC3902" w:rsidP="009924D9">
      <w:pPr>
        <w:pStyle w:val="ListParagraph"/>
        <w:numPr>
          <w:ilvl w:val="0"/>
          <w:numId w:val="21"/>
        </w:numPr>
        <w:spacing w:after="0" w:line="240" w:lineRule="auto"/>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Condu</w:t>
      </w:r>
      <w:r w:rsidR="00727DF5" w:rsidRPr="00B853BC">
        <w:rPr>
          <w:rFonts w:ascii="Times New Roman" w:eastAsia="Calibri" w:hAnsi="Times New Roman" w:cs="Times New Roman"/>
          <w:sz w:val="23"/>
          <w:szCs w:val="23"/>
        </w:rPr>
        <w:t>c</w:t>
      </w:r>
      <w:r w:rsidRPr="00B853BC">
        <w:rPr>
          <w:rFonts w:ascii="Times New Roman" w:eastAsia="Calibri" w:hAnsi="Times New Roman" w:cs="Times New Roman"/>
          <w:sz w:val="23"/>
          <w:szCs w:val="23"/>
        </w:rPr>
        <w:t>ive work environment: To endeavor to provide safe, healthy and productive work that respects principles of equality and inclusion.</w:t>
      </w:r>
    </w:p>
    <w:p w14:paraId="1573F929" w14:textId="740CD2BD" w:rsidR="009C4274" w:rsidRPr="00B853BC" w:rsidRDefault="009C4274" w:rsidP="009924D9">
      <w:pPr>
        <w:pStyle w:val="ListParagraph"/>
        <w:numPr>
          <w:ilvl w:val="0"/>
          <w:numId w:val="21"/>
        </w:numPr>
        <w:spacing w:after="0" w:line="240" w:lineRule="auto"/>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Gender and diversity: To promote principles of equality and inclusion of vulnerable and marginalized groups in ICTA Activities/ </w:t>
      </w:r>
      <w:proofErr w:type="spellStart"/>
      <w:r w:rsidRPr="00B853BC">
        <w:rPr>
          <w:rFonts w:ascii="Times New Roman" w:eastAsia="Calibri" w:hAnsi="Times New Roman" w:cs="Times New Roman"/>
          <w:sz w:val="23"/>
          <w:szCs w:val="23"/>
        </w:rPr>
        <w:t>programmes</w:t>
      </w:r>
      <w:proofErr w:type="spellEnd"/>
      <w:r w:rsidRPr="00B853BC">
        <w:rPr>
          <w:rFonts w:ascii="Times New Roman" w:eastAsia="Calibri" w:hAnsi="Times New Roman" w:cs="Times New Roman"/>
          <w:sz w:val="23"/>
          <w:szCs w:val="23"/>
        </w:rPr>
        <w:t xml:space="preserve">. </w:t>
      </w:r>
    </w:p>
    <w:p w14:paraId="0EDC8E99" w14:textId="201D0BFE" w:rsidR="00DA4AF7" w:rsidRPr="00B853BC" w:rsidRDefault="00DA4AF7" w:rsidP="009924D9">
      <w:pPr>
        <w:pStyle w:val="ListParagraph"/>
        <w:numPr>
          <w:ilvl w:val="0"/>
          <w:numId w:val="21"/>
        </w:numPr>
        <w:spacing w:after="0" w:line="240" w:lineRule="auto"/>
        <w:jc w:val="both"/>
        <w:rPr>
          <w:rFonts w:ascii="Times New Roman" w:eastAsia="Calibri" w:hAnsi="Times New Roman" w:cs="Times New Roman"/>
          <w:sz w:val="23"/>
          <w:szCs w:val="23"/>
        </w:rPr>
      </w:pPr>
      <w:r w:rsidRPr="00B853BC">
        <w:rPr>
          <w:rFonts w:ascii="Times New Roman" w:eastAsia="Calibri" w:hAnsi="Times New Roman" w:cs="Times New Roman"/>
          <w:sz w:val="23"/>
          <w:szCs w:val="23"/>
        </w:rPr>
        <w:t xml:space="preserve">Partnership and collaboration : To build and nurture strategic partnerships with key and relevant stakeholders and partners. </w:t>
      </w:r>
    </w:p>
    <w:p w14:paraId="565B24F3" w14:textId="77777777" w:rsidR="00FE5BFA" w:rsidRDefault="00FE5BFA" w:rsidP="007449DF">
      <w:pPr>
        <w:spacing w:after="0" w:line="240" w:lineRule="auto"/>
        <w:jc w:val="both"/>
        <w:rPr>
          <w:rFonts w:ascii="Times New Roman" w:hAnsi="Times New Roman" w:cs="Times New Roman"/>
          <w:sz w:val="23"/>
          <w:szCs w:val="23"/>
        </w:rPr>
      </w:pPr>
    </w:p>
    <w:p w14:paraId="544F1731" w14:textId="77777777" w:rsidR="00ED71BC" w:rsidRDefault="00ED71BC" w:rsidP="007449DF">
      <w:pPr>
        <w:spacing w:after="0" w:line="240" w:lineRule="auto"/>
        <w:jc w:val="both"/>
        <w:rPr>
          <w:rFonts w:ascii="Times New Roman" w:hAnsi="Times New Roman" w:cs="Times New Roman"/>
          <w:sz w:val="23"/>
          <w:szCs w:val="23"/>
        </w:rPr>
      </w:pPr>
    </w:p>
    <w:p w14:paraId="3131119A" w14:textId="77777777" w:rsidR="00ED71BC" w:rsidRDefault="00ED71BC" w:rsidP="007449DF">
      <w:pPr>
        <w:spacing w:after="0" w:line="240" w:lineRule="auto"/>
        <w:jc w:val="both"/>
        <w:rPr>
          <w:rFonts w:ascii="Times New Roman" w:hAnsi="Times New Roman" w:cs="Times New Roman"/>
          <w:sz w:val="23"/>
          <w:szCs w:val="23"/>
        </w:rPr>
      </w:pPr>
    </w:p>
    <w:p w14:paraId="520588B7" w14:textId="77777777" w:rsidR="00ED71BC" w:rsidRPr="00B853BC" w:rsidRDefault="00ED71BC" w:rsidP="007449DF">
      <w:pPr>
        <w:spacing w:after="0" w:line="240" w:lineRule="auto"/>
        <w:jc w:val="both"/>
        <w:rPr>
          <w:rFonts w:ascii="Times New Roman" w:hAnsi="Times New Roman" w:cs="Times New Roman"/>
          <w:sz w:val="23"/>
          <w:szCs w:val="23"/>
        </w:rPr>
      </w:pPr>
    </w:p>
    <w:p w14:paraId="40CA7635" w14:textId="296476D0" w:rsidR="00FE5BFA" w:rsidRPr="00B853BC" w:rsidRDefault="00FE5BFA" w:rsidP="003E4EBD">
      <w:pPr>
        <w:pStyle w:val="Heading2"/>
        <w:rPr>
          <w:sz w:val="23"/>
          <w:szCs w:val="23"/>
        </w:rPr>
      </w:pPr>
      <w:bookmarkStart w:id="22" w:name="_Toc141127697"/>
      <w:r w:rsidRPr="00B853BC">
        <w:rPr>
          <w:sz w:val="23"/>
          <w:szCs w:val="23"/>
        </w:rPr>
        <w:lastRenderedPageBreak/>
        <w:t>ICTA’s Sexual and Gender Based Violence Policy</w:t>
      </w:r>
      <w:r w:rsidR="00A1645E" w:rsidRPr="00B853BC">
        <w:rPr>
          <w:sz w:val="23"/>
          <w:szCs w:val="23"/>
        </w:rPr>
        <w:t xml:space="preserve"> (</w:t>
      </w:r>
      <w:proofErr w:type="gramStart"/>
      <w:r w:rsidR="005B1435" w:rsidRPr="00B853BC">
        <w:rPr>
          <w:sz w:val="23"/>
          <w:szCs w:val="23"/>
        </w:rPr>
        <w:t>April</w:t>
      </w:r>
      <w:r w:rsidR="00A1645E" w:rsidRPr="00B853BC">
        <w:rPr>
          <w:sz w:val="23"/>
          <w:szCs w:val="23"/>
        </w:rPr>
        <w:t>,</w:t>
      </w:r>
      <w:proofErr w:type="gramEnd"/>
      <w:r w:rsidR="00A1645E" w:rsidRPr="00B853BC">
        <w:rPr>
          <w:sz w:val="23"/>
          <w:szCs w:val="23"/>
        </w:rPr>
        <w:t xml:space="preserve"> 2021)</w:t>
      </w:r>
      <w:bookmarkEnd w:id="22"/>
    </w:p>
    <w:p w14:paraId="3B586B02" w14:textId="77777777" w:rsidR="00665E80" w:rsidRPr="00B853BC" w:rsidRDefault="00665E80" w:rsidP="003E4EBD">
      <w:pPr>
        <w:spacing w:after="0" w:line="240" w:lineRule="auto"/>
        <w:jc w:val="both"/>
        <w:rPr>
          <w:rFonts w:ascii="Times New Roman" w:hAnsi="Times New Roman" w:cs="Times New Roman"/>
          <w:sz w:val="23"/>
          <w:szCs w:val="23"/>
        </w:rPr>
      </w:pPr>
    </w:p>
    <w:p w14:paraId="7CEC279B" w14:textId="564F3790" w:rsidR="00665E80" w:rsidRPr="00B853BC" w:rsidRDefault="0090595C" w:rsidP="003E4EBD">
      <w:pPr>
        <w:spacing w:after="0" w:line="240" w:lineRule="auto"/>
        <w:jc w:val="both"/>
        <w:rPr>
          <w:rFonts w:ascii="Times New Roman" w:hAnsi="Times New Roman" w:cs="Times New Roman"/>
          <w:sz w:val="23"/>
          <w:szCs w:val="23"/>
          <w:lang w:bidi="en-US"/>
        </w:rPr>
      </w:pPr>
      <w:r w:rsidRPr="00B853BC">
        <w:rPr>
          <w:rFonts w:ascii="Times New Roman" w:hAnsi="Times New Roman" w:cs="Times New Roman"/>
          <w:sz w:val="23"/>
          <w:szCs w:val="23"/>
          <w:lang w:bidi="en-US"/>
        </w:rPr>
        <w:t xml:space="preserve">The ICTA Sexual and Gender Based Violence Policy </w:t>
      </w:r>
      <w:r w:rsidR="00C74397" w:rsidRPr="00B853BC">
        <w:rPr>
          <w:rFonts w:ascii="Times New Roman" w:hAnsi="Times New Roman" w:cs="Times New Roman"/>
          <w:sz w:val="23"/>
          <w:szCs w:val="23"/>
          <w:lang w:bidi="en-US"/>
        </w:rPr>
        <w:t xml:space="preserve">is in line with the </w:t>
      </w:r>
      <w:r w:rsidR="00665E80" w:rsidRPr="00B853BC">
        <w:rPr>
          <w:rFonts w:ascii="Times New Roman" w:hAnsi="Times New Roman" w:cs="Times New Roman"/>
          <w:sz w:val="23"/>
          <w:szCs w:val="23"/>
          <w:lang w:bidi="en-US"/>
        </w:rPr>
        <w:t xml:space="preserve">Constitution of Kenya of 2010, </w:t>
      </w:r>
      <w:r w:rsidR="00C74397" w:rsidRPr="00B853BC">
        <w:rPr>
          <w:rFonts w:ascii="Times New Roman" w:hAnsi="Times New Roman" w:cs="Times New Roman"/>
          <w:sz w:val="23"/>
          <w:szCs w:val="23"/>
          <w:lang w:bidi="en-US"/>
        </w:rPr>
        <w:t xml:space="preserve">which </w:t>
      </w:r>
      <w:r w:rsidR="00665E80" w:rsidRPr="00B853BC">
        <w:rPr>
          <w:rFonts w:ascii="Times New Roman" w:hAnsi="Times New Roman" w:cs="Times New Roman"/>
          <w:sz w:val="23"/>
          <w:szCs w:val="23"/>
          <w:lang w:bidi="en-US"/>
        </w:rPr>
        <w:t>recognizes that every person should be free and able to enjoy his/her working environment free from all forms of harassment and discrimination whether from the basis of ethnicity, national or social origin, religion, political affiliation, gender or any other form of personal identity. The policy also acknowledges the provisions of Sexual Offences Act, 2006; Employment Act, 2007; and Counter-Trafficking in Persons Act, 2010.</w:t>
      </w:r>
    </w:p>
    <w:p w14:paraId="5F3F461A" w14:textId="77777777" w:rsidR="00C74397" w:rsidRPr="00B853BC" w:rsidRDefault="00C74397" w:rsidP="003E4EBD">
      <w:pPr>
        <w:spacing w:after="0" w:line="240" w:lineRule="auto"/>
        <w:jc w:val="both"/>
        <w:rPr>
          <w:rFonts w:ascii="Times New Roman" w:hAnsi="Times New Roman" w:cs="Times New Roman"/>
          <w:sz w:val="23"/>
          <w:szCs w:val="23"/>
          <w:lang w:bidi="en-US"/>
        </w:rPr>
      </w:pPr>
    </w:p>
    <w:p w14:paraId="0AB86C8F" w14:textId="55D95090" w:rsidR="00665E80" w:rsidRPr="00B853BC" w:rsidRDefault="00665E80" w:rsidP="003E4EBD">
      <w:pPr>
        <w:spacing w:after="0" w:line="240" w:lineRule="auto"/>
        <w:jc w:val="both"/>
        <w:rPr>
          <w:rFonts w:ascii="Times New Roman" w:hAnsi="Times New Roman" w:cs="Times New Roman"/>
          <w:sz w:val="23"/>
          <w:szCs w:val="23"/>
          <w:lang w:bidi="en-US"/>
        </w:rPr>
      </w:pPr>
      <w:r w:rsidRPr="00B853BC">
        <w:rPr>
          <w:rFonts w:ascii="Times New Roman" w:hAnsi="Times New Roman" w:cs="Times New Roman"/>
          <w:sz w:val="23"/>
          <w:szCs w:val="23"/>
          <w:lang w:bidi="en-US"/>
        </w:rPr>
        <w:t xml:space="preserve">ICT Authority abides by the Presidential Directives </w:t>
      </w:r>
      <w:r w:rsidR="00BD4639" w:rsidRPr="00B853BC">
        <w:rPr>
          <w:rFonts w:ascii="Times New Roman" w:hAnsi="Times New Roman" w:cs="Times New Roman"/>
          <w:sz w:val="23"/>
          <w:szCs w:val="23"/>
          <w:lang w:bidi="en-US"/>
        </w:rPr>
        <w:t>on</w:t>
      </w:r>
      <w:r w:rsidRPr="00B853BC">
        <w:rPr>
          <w:rFonts w:ascii="Times New Roman" w:hAnsi="Times New Roman" w:cs="Times New Roman"/>
          <w:sz w:val="23"/>
          <w:szCs w:val="23"/>
          <w:lang w:bidi="en-US"/>
        </w:rPr>
        <w:t xml:space="preserve"> two</w:t>
      </w:r>
      <w:r w:rsidR="00727DF5" w:rsidRPr="00B853BC">
        <w:rPr>
          <w:rFonts w:ascii="Times New Roman" w:hAnsi="Times New Roman" w:cs="Times New Roman"/>
          <w:sz w:val="23"/>
          <w:szCs w:val="23"/>
          <w:lang w:bidi="en-US"/>
        </w:rPr>
        <w:t>-</w:t>
      </w:r>
      <w:r w:rsidRPr="00B853BC">
        <w:rPr>
          <w:rFonts w:ascii="Times New Roman" w:hAnsi="Times New Roman" w:cs="Times New Roman"/>
          <w:sz w:val="23"/>
          <w:szCs w:val="23"/>
          <w:lang w:bidi="en-US"/>
        </w:rPr>
        <w:t xml:space="preserve">thirds gender principle; and the 30 percent procurement reservations for the Youth, Women and Persons With Disabilities amongst others. Moreover, </w:t>
      </w:r>
      <w:r w:rsidR="00727DF5" w:rsidRPr="00B853BC">
        <w:rPr>
          <w:rFonts w:ascii="Times New Roman" w:hAnsi="Times New Roman" w:cs="Times New Roman"/>
          <w:sz w:val="23"/>
          <w:szCs w:val="23"/>
          <w:lang w:bidi="en-US"/>
        </w:rPr>
        <w:t xml:space="preserve">the </w:t>
      </w:r>
      <w:r w:rsidRPr="00B853BC">
        <w:rPr>
          <w:rFonts w:ascii="Times New Roman" w:hAnsi="Times New Roman" w:cs="Times New Roman"/>
          <w:sz w:val="23"/>
          <w:szCs w:val="23"/>
          <w:lang w:bidi="en-US"/>
        </w:rPr>
        <w:t>legal prohibition of discrimination in employment on basis of sex is stipulated in the Employment Act, No. 11 of 2007 which the Authority also adheres to.</w:t>
      </w:r>
    </w:p>
    <w:p w14:paraId="6029582E" w14:textId="77777777" w:rsidR="00665E80" w:rsidRPr="00B853BC" w:rsidRDefault="00665E80" w:rsidP="0090595C">
      <w:pPr>
        <w:spacing w:after="0" w:line="240" w:lineRule="auto"/>
        <w:jc w:val="both"/>
        <w:rPr>
          <w:rFonts w:ascii="Times New Roman" w:hAnsi="Times New Roman" w:cs="Times New Roman"/>
          <w:sz w:val="23"/>
          <w:szCs w:val="23"/>
          <w:lang w:bidi="en-US"/>
        </w:rPr>
      </w:pPr>
    </w:p>
    <w:p w14:paraId="2D28B953" w14:textId="37B058B8" w:rsidR="00665E80" w:rsidRPr="00B853BC" w:rsidRDefault="00665E80" w:rsidP="0090595C">
      <w:pPr>
        <w:spacing w:after="0" w:line="240" w:lineRule="auto"/>
        <w:jc w:val="both"/>
        <w:rPr>
          <w:rFonts w:ascii="Times New Roman" w:hAnsi="Times New Roman" w:cs="Times New Roman"/>
          <w:sz w:val="23"/>
          <w:szCs w:val="23"/>
          <w:lang w:bidi="en-US"/>
        </w:rPr>
      </w:pPr>
      <w:r w:rsidRPr="00B853BC">
        <w:rPr>
          <w:rFonts w:ascii="Times New Roman" w:hAnsi="Times New Roman" w:cs="Times New Roman"/>
          <w:sz w:val="23"/>
          <w:szCs w:val="23"/>
          <w:lang w:bidi="en-US"/>
        </w:rPr>
        <w:t xml:space="preserve">In this regard, the Authority strives to eradicate Sexual and Gender-Based Violence (SGBV) in its workplaces as an invaluable measure to sustainable and inclusive human dignity and development. The Authority commits to ensure SGBV prevention and response mechanisms are in </w:t>
      </w:r>
      <w:r w:rsidR="00BD4639" w:rsidRPr="00B853BC">
        <w:rPr>
          <w:rFonts w:ascii="Times New Roman" w:hAnsi="Times New Roman" w:cs="Times New Roman"/>
          <w:sz w:val="23"/>
          <w:szCs w:val="23"/>
          <w:lang w:bidi="en-US"/>
        </w:rPr>
        <w:t>place and</w:t>
      </w:r>
      <w:r w:rsidRPr="00B853BC">
        <w:rPr>
          <w:rFonts w:ascii="Times New Roman" w:hAnsi="Times New Roman" w:cs="Times New Roman"/>
          <w:sz w:val="23"/>
          <w:szCs w:val="23"/>
          <w:lang w:bidi="en-US"/>
        </w:rPr>
        <w:t xml:space="preserve"> shall institutionalize the fight against SGBV with all stakeholders who share common vision with the Authority. </w:t>
      </w:r>
      <w:r w:rsidR="004E3DFD" w:rsidRPr="00B853BC">
        <w:rPr>
          <w:rFonts w:ascii="Times New Roman" w:hAnsi="Times New Roman" w:cs="Times New Roman"/>
          <w:sz w:val="23"/>
          <w:szCs w:val="23"/>
          <w:lang w:bidi="en-US"/>
        </w:rPr>
        <w:t>ICTA</w:t>
      </w:r>
      <w:r w:rsidRPr="00B853BC">
        <w:rPr>
          <w:rFonts w:ascii="Times New Roman" w:hAnsi="Times New Roman" w:cs="Times New Roman"/>
          <w:sz w:val="23"/>
          <w:szCs w:val="23"/>
          <w:lang w:bidi="en-US"/>
        </w:rPr>
        <w:t xml:space="preserve"> adopt</w:t>
      </w:r>
      <w:r w:rsidR="004E3DFD" w:rsidRPr="00B853BC">
        <w:rPr>
          <w:rFonts w:ascii="Times New Roman" w:hAnsi="Times New Roman" w:cs="Times New Roman"/>
          <w:sz w:val="23"/>
          <w:szCs w:val="23"/>
          <w:lang w:bidi="en-US"/>
        </w:rPr>
        <w:t>s</w:t>
      </w:r>
      <w:r w:rsidRPr="00B853BC">
        <w:rPr>
          <w:rFonts w:ascii="Times New Roman" w:hAnsi="Times New Roman" w:cs="Times New Roman"/>
          <w:sz w:val="23"/>
          <w:szCs w:val="23"/>
          <w:lang w:bidi="en-US"/>
        </w:rPr>
        <w:t xml:space="preserve"> positive measures aimed at achieving SGBV free working environment.</w:t>
      </w:r>
    </w:p>
    <w:p w14:paraId="79115D2A" w14:textId="77777777" w:rsidR="004E3DFD" w:rsidRPr="00B853BC" w:rsidRDefault="004E3DFD" w:rsidP="0090595C">
      <w:pPr>
        <w:spacing w:after="0" w:line="240" w:lineRule="auto"/>
        <w:jc w:val="both"/>
        <w:rPr>
          <w:rFonts w:ascii="Times New Roman" w:hAnsi="Times New Roman" w:cs="Times New Roman"/>
          <w:sz w:val="23"/>
          <w:szCs w:val="23"/>
          <w:lang w:bidi="en-US"/>
        </w:rPr>
      </w:pPr>
    </w:p>
    <w:p w14:paraId="0E5A6C1D" w14:textId="18BBC2D7" w:rsidR="00665E80" w:rsidRPr="00B853BC" w:rsidRDefault="004E3DFD" w:rsidP="00FF54BC">
      <w:pPr>
        <w:spacing w:after="0" w:line="240" w:lineRule="auto"/>
        <w:jc w:val="both"/>
        <w:rPr>
          <w:rFonts w:ascii="Times New Roman" w:hAnsi="Times New Roman" w:cs="Times New Roman"/>
          <w:sz w:val="23"/>
          <w:szCs w:val="23"/>
          <w:lang w:bidi="en-US"/>
        </w:rPr>
      </w:pPr>
      <w:r w:rsidRPr="00B853BC">
        <w:rPr>
          <w:rFonts w:ascii="Times New Roman" w:hAnsi="Times New Roman" w:cs="Times New Roman"/>
          <w:sz w:val="23"/>
          <w:szCs w:val="23"/>
          <w:lang w:bidi="en-US"/>
        </w:rPr>
        <w:t xml:space="preserve">The Policy seeks to ensure that </w:t>
      </w:r>
      <w:r w:rsidR="00665E80" w:rsidRPr="00B853BC">
        <w:rPr>
          <w:rFonts w:ascii="Times New Roman" w:hAnsi="Times New Roman" w:cs="Times New Roman"/>
          <w:sz w:val="23"/>
          <w:szCs w:val="23"/>
          <w:lang w:bidi="en-US"/>
        </w:rPr>
        <w:t>all employees of the Authority and other stakeholders shall enjoy the “non-discrimination” and “human dignity” rights as spelt out in the Constitution. This will further contribute to enhanced service delivery.</w:t>
      </w:r>
    </w:p>
    <w:p w14:paraId="2B0ECCB4" w14:textId="77777777" w:rsidR="00FF54BC" w:rsidRPr="00B853BC" w:rsidRDefault="00FF54BC" w:rsidP="00FF54BC">
      <w:pPr>
        <w:spacing w:after="0" w:line="240" w:lineRule="auto"/>
        <w:jc w:val="both"/>
        <w:rPr>
          <w:rFonts w:ascii="Times New Roman" w:hAnsi="Times New Roman" w:cs="Times New Roman"/>
          <w:sz w:val="23"/>
          <w:szCs w:val="23"/>
          <w:lang w:bidi="en-US"/>
        </w:rPr>
      </w:pPr>
    </w:p>
    <w:p w14:paraId="32C00F06" w14:textId="76014702" w:rsidR="00FF54BC" w:rsidRPr="00B853BC" w:rsidRDefault="00FF54BC" w:rsidP="00FF54BC">
      <w:pPr>
        <w:spacing w:after="0" w:line="240" w:lineRule="auto"/>
        <w:jc w:val="both"/>
        <w:rPr>
          <w:rFonts w:ascii="Times New Roman" w:eastAsia="Calibri" w:hAnsi="Times New Roman" w:cs="Times New Roman"/>
          <w:sz w:val="23"/>
          <w:szCs w:val="23"/>
          <w:lang w:val="en-GB"/>
        </w:rPr>
      </w:pPr>
      <w:r w:rsidRPr="00B853BC">
        <w:rPr>
          <w:rFonts w:ascii="Times New Roman" w:hAnsi="Times New Roman" w:cs="Times New Roman"/>
          <w:sz w:val="23"/>
          <w:szCs w:val="23"/>
        </w:rPr>
        <w:t>According to the Policy, GBV refers to physical, sexual, economic or psychological violations which are subjected to individuals and/or a group of persons based on social expectations of men and women. The Policy focu</w:t>
      </w:r>
      <w:r w:rsidR="001E56F8" w:rsidRPr="00B853BC">
        <w:rPr>
          <w:rFonts w:ascii="Times New Roman" w:hAnsi="Times New Roman" w:cs="Times New Roman"/>
          <w:sz w:val="23"/>
          <w:szCs w:val="23"/>
        </w:rPr>
        <w:t>ses</w:t>
      </w:r>
      <w:r w:rsidRPr="00B853BC">
        <w:rPr>
          <w:rFonts w:ascii="Times New Roman" w:hAnsi="Times New Roman" w:cs="Times New Roman"/>
          <w:sz w:val="23"/>
          <w:szCs w:val="23"/>
        </w:rPr>
        <w:t xml:space="preserve"> on the following forms of Gender Based Violence;</w:t>
      </w:r>
    </w:p>
    <w:p w14:paraId="0D0D2E87" w14:textId="4F0391D4" w:rsidR="00FF54BC" w:rsidRPr="00B853BC" w:rsidRDefault="00FF54BC" w:rsidP="009924D9">
      <w:pPr>
        <w:pStyle w:val="ListParagraph"/>
        <w:numPr>
          <w:ilvl w:val="0"/>
          <w:numId w:val="14"/>
        </w:numPr>
        <w:spacing w:after="0" w:line="240" w:lineRule="auto"/>
        <w:jc w:val="both"/>
        <w:rPr>
          <w:rFonts w:ascii="Times New Roman" w:hAnsi="Times New Roman" w:cs="Times New Roman"/>
          <w:sz w:val="23"/>
          <w:szCs w:val="23"/>
        </w:rPr>
      </w:pPr>
      <w:r w:rsidRPr="00B853BC">
        <w:rPr>
          <w:rFonts w:ascii="Times New Roman" w:eastAsia="Calibri" w:hAnsi="Times New Roman" w:cs="Times New Roman"/>
          <w:sz w:val="23"/>
          <w:szCs w:val="23"/>
          <w:lang w:val="en-GB"/>
        </w:rPr>
        <w:t>Physical</w:t>
      </w:r>
      <w:r w:rsidR="001E56F8" w:rsidRPr="00B853BC">
        <w:rPr>
          <w:rFonts w:ascii="Times New Roman" w:eastAsia="Calibri" w:hAnsi="Times New Roman" w:cs="Times New Roman"/>
          <w:sz w:val="23"/>
          <w:szCs w:val="23"/>
          <w:lang w:val="en-GB"/>
        </w:rPr>
        <w:t>:</w:t>
      </w:r>
      <w:r w:rsidR="00727DF5" w:rsidRPr="00B853BC">
        <w:rPr>
          <w:rFonts w:ascii="Times New Roman" w:eastAsia="Calibri" w:hAnsi="Times New Roman" w:cs="Times New Roman"/>
          <w:sz w:val="23"/>
          <w:szCs w:val="23"/>
          <w:lang w:val="en-GB"/>
        </w:rPr>
        <w:t xml:space="preserve"> </w:t>
      </w:r>
      <w:r w:rsidR="001E56F8" w:rsidRPr="00B853BC">
        <w:rPr>
          <w:rFonts w:ascii="Times New Roman" w:eastAsia="Calibri" w:hAnsi="Times New Roman" w:cs="Times New Roman"/>
          <w:sz w:val="23"/>
          <w:szCs w:val="23"/>
          <w:lang w:val="en-GB"/>
        </w:rPr>
        <w:t xml:space="preserve">which includes </w:t>
      </w:r>
      <w:r w:rsidR="001E56F8" w:rsidRPr="00B853BC">
        <w:rPr>
          <w:rFonts w:ascii="Times New Roman" w:eastAsia="Calibri" w:hAnsi="Times New Roman" w:cs="Times New Roman"/>
          <w:sz w:val="23"/>
          <w:szCs w:val="23"/>
        </w:rPr>
        <w:t>battering,</w:t>
      </w:r>
      <w:r w:rsidR="001E56F8" w:rsidRPr="00B853BC">
        <w:rPr>
          <w:rFonts w:ascii="Times New Roman" w:eastAsiaTheme="minorEastAsia" w:hAnsi="Times New Roman" w:cs="Times New Roman"/>
          <w:color w:val="000000" w:themeColor="text1"/>
          <w:kern w:val="24"/>
          <w:sz w:val="23"/>
          <w:szCs w:val="23"/>
        </w:rPr>
        <w:t xml:space="preserve"> </w:t>
      </w:r>
      <w:r w:rsidR="001E56F8" w:rsidRPr="00B853BC">
        <w:rPr>
          <w:rFonts w:ascii="Times New Roman" w:eastAsia="Calibri" w:hAnsi="Times New Roman" w:cs="Times New Roman"/>
          <w:sz w:val="23"/>
          <w:szCs w:val="23"/>
        </w:rPr>
        <w:t>confinement, ritual killing, forced early marriage and murder)</w:t>
      </w:r>
      <w:r w:rsidR="001E56F8" w:rsidRPr="00B853BC">
        <w:rPr>
          <w:rFonts w:ascii="Times New Roman" w:eastAsia="Calibri" w:hAnsi="Times New Roman" w:cs="Times New Roman"/>
          <w:sz w:val="23"/>
          <w:szCs w:val="23"/>
          <w:lang w:val="en-GB"/>
        </w:rPr>
        <w:t>;</w:t>
      </w:r>
    </w:p>
    <w:p w14:paraId="4DBEA03F" w14:textId="77CFFE46" w:rsidR="00FF54BC" w:rsidRPr="00B853BC" w:rsidRDefault="00FF54BC" w:rsidP="009924D9">
      <w:pPr>
        <w:pStyle w:val="ListParagraph"/>
        <w:numPr>
          <w:ilvl w:val="0"/>
          <w:numId w:val="14"/>
        </w:numPr>
        <w:spacing w:after="0" w:line="240" w:lineRule="auto"/>
        <w:jc w:val="both"/>
        <w:rPr>
          <w:rFonts w:ascii="Times New Roman" w:hAnsi="Times New Roman" w:cs="Times New Roman"/>
          <w:sz w:val="23"/>
          <w:szCs w:val="23"/>
        </w:rPr>
      </w:pPr>
      <w:r w:rsidRPr="00B853BC">
        <w:rPr>
          <w:rFonts w:ascii="Times New Roman" w:eastAsia="Calibri" w:hAnsi="Times New Roman" w:cs="Times New Roman"/>
          <w:sz w:val="23"/>
          <w:szCs w:val="23"/>
          <w:lang w:val="en-GB"/>
        </w:rPr>
        <w:t>Psychological</w:t>
      </w:r>
      <w:r w:rsidR="001E56F8" w:rsidRPr="00B853BC">
        <w:rPr>
          <w:rFonts w:ascii="Times New Roman" w:eastAsia="Calibri" w:hAnsi="Times New Roman" w:cs="Times New Roman"/>
          <w:sz w:val="23"/>
          <w:szCs w:val="23"/>
          <w:lang w:val="en-GB"/>
        </w:rPr>
        <w:t xml:space="preserve">: </w:t>
      </w:r>
      <w:r w:rsidRPr="00B853BC">
        <w:rPr>
          <w:rFonts w:ascii="Times New Roman" w:eastAsia="Calibri" w:hAnsi="Times New Roman" w:cs="Times New Roman"/>
          <w:sz w:val="23"/>
          <w:szCs w:val="23"/>
          <w:lang w:val="en-GB"/>
        </w:rPr>
        <w:t xml:space="preserve">which includes Verbal abuse, </w:t>
      </w:r>
      <w:r w:rsidRPr="00B853BC">
        <w:rPr>
          <w:rFonts w:ascii="Times New Roman" w:eastAsia="Calibri" w:hAnsi="Times New Roman" w:cs="Times New Roman"/>
          <w:sz w:val="23"/>
          <w:szCs w:val="23"/>
        </w:rPr>
        <w:t xml:space="preserve">Servitude, </w:t>
      </w:r>
      <w:r w:rsidRPr="00B853BC">
        <w:rPr>
          <w:rFonts w:ascii="Times New Roman" w:eastAsia="Calibri" w:hAnsi="Times New Roman" w:cs="Times New Roman"/>
          <w:sz w:val="23"/>
          <w:szCs w:val="23"/>
          <w:lang w:val="en-GB"/>
        </w:rPr>
        <w:t xml:space="preserve">humiliation, isolation, </w:t>
      </w:r>
      <w:r w:rsidRPr="00B853BC">
        <w:rPr>
          <w:rFonts w:ascii="Times New Roman" w:eastAsia="Calibri" w:hAnsi="Times New Roman" w:cs="Times New Roman"/>
          <w:sz w:val="23"/>
          <w:szCs w:val="23"/>
        </w:rPr>
        <w:t xml:space="preserve">Desertion, insults, </w:t>
      </w:r>
      <w:r w:rsidR="00727DF5" w:rsidRPr="00B853BC">
        <w:rPr>
          <w:rFonts w:ascii="Times New Roman" w:eastAsia="Calibri" w:hAnsi="Times New Roman" w:cs="Times New Roman"/>
          <w:sz w:val="23"/>
          <w:szCs w:val="23"/>
        </w:rPr>
        <w:t xml:space="preserve">and </w:t>
      </w:r>
      <w:r w:rsidRPr="00B853BC">
        <w:rPr>
          <w:rFonts w:ascii="Times New Roman" w:eastAsia="Calibri" w:hAnsi="Times New Roman" w:cs="Times New Roman"/>
          <w:sz w:val="23"/>
          <w:szCs w:val="23"/>
        </w:rPr>
        <w:t>threats</w:t>
      </w:r>
      <w:r w:rsidR="001E56F8" w:rsidRPr="00B853BC">
        <w:rPr>
          <w:rFonts w:ascii="Times New Roman" w:eastAsia="Calibri" w:hAnsi="Times New Roman" w:cs="Times New Roman"/>
          <w:sz w:val="23"/>
          <w:szCs w:val="23"/>
        </w:rPr>
        <w:t>;</w:t>
      </w:r>
    </w:p>
    <w:p w14:paraId="25167B5D" w14:textId="629F97EC" w:rsidR="00FF54BC" w:rsidRPr="00B853BC" w:rsidRDefault="00FF54BC" w:rsidP="009924D9">
      <w:pPr>
        <w:pStyle w:val="ListParagraph"/>
        <w:numPr>
          <w:ilvl w:val="0"/>
          <w:numId w:val="14"/>
        </w:numPr>
        <w:spacing w:after="0" w:line="240" w:lineRule="auto"/>
        <w:jc w:val="both"/>
        <w:rPr>
          <w:rFonts w:ascii="Times New Roman" w:hAnsi="Times New Roman" w:cs="Times New Roman"/>
          <w:sz w:val="23"/>
          <w:szCs w:val="23"/>
        </w:rPr>
      </w:pPr>
      <w:r w:rsidRPr="00B853BC">
        <w:rPr>
          <w:rFonts w:ascii="Times New Roman" w:eastAsia="Calibri" w:hAnsi="Times New Roman" w:cs="Times New Roman"/>
          <w:sz w:val="23"/>
          <w:szCs w:val="23"/>
          <w:lang w:val="en-GB"/>
        </w:rPr>
        <w:t>Sexual Abuse</w:t>
      </w:r>
      <w:r w:rsidR="001E56F8" w:rsidRPr="00B853BC">
        <w:rPr>
          <w:rFonts w:ascii="Times New Roman" w:eastAsia="Calibri" w:hAnsi="Times New Roman" w:cs="Times New Roman"/>
          <w:sz w:val="23"/>
          <w:szCs w:val="23"/>
          <w:lang w:val="en-GB"/>
        </w:rPr>
        <w:t xml:space="preserve">: </w:t>
      </w:r>
      <w:r w:rsidR="00727DF5" w:rsidRPr="00B853BC">
        <w:rPr>
          <w:rFonts w:ascii="Times New Roman" w:eastAsia="Calibri" w:hAnsi="Times New Roman" w:cs="Times New Roman"/>
          <w:sz w:val="23"/>
          <w:szCs w:val="23"/>
          <w:lang w:val="en-GB"/>
        </w:rPr>
        <w:t>this</w:t>
      </w:r>
      <w:r w:rsidRPr="00B853BC">
        <w:rPr>
          <w:rFonts w:ascii="Times New Roman" w:eastAsia="Calibri" w:hAnsi="Times New Roman" w:cs="Times New Roman"/>
          <w:sz w:val="23"/>
          <w:szCs w:val="23"/>
          <w:lang w:val="en-GB"/>
        </w:rPr>
        <w:t xml:space="preserve"> include</w:t>
      </w:r>
      <w:r w:rsidR="00727DF5" w:rsidRPr="00B853BC">
        <w:rPr>
          <w:rFonts w:ascii="Times New Roman" w:eastAsia="Calibri" w:hAnsi="Times New Roman" w:cs="Times New Roman"/>
          <w:sz w:val="23"/>
          <w:szCs w:val="23"/>
          <w:lang w:val="en-GB"/>
        </w:rPr>
        <w:t>s</w:t>
      </w:r>
      <w:r w:rsidRPr="00B853BC">
        <w:rPr>
          <w:rFonts w:ascii="Times New Roman" w:eastAsia="Calibri" w:hAnsi="Times New Roman" w:cs="Times New Roman"/>
          <w:sz w:val="23"/>
          <w:szCs w:val="23"/>
          <w:lang w:val="en-GB"/>
        </w:rPr>
        <w:t xml:space="preserve"> all forms of forced sexual acts includ</w:t>
      </w:r>
      <w:r w:rsidR="001E56F8" w:rsidRPr="00B853BC">
        <w:rPr>
          <w:rFonts w:ascii="Times New Roman" w:eastAsia="Calibri" w:hAnsi="Times New Roman" w:cs="Times New Roman"/>
          <w:sz w:val="23"/>
          <w:szCs w:val="23"/>
          <w:lang w:val="en-GB"/>
        </w:rPr>
        <w:t>ing rape (systemic, date, gang and marital rape),</w:t>
      </w:r>
      <w:r w:rsidR="001E56F8" w:rsidRPr="00B853BC">
        <w:rPr>
          <w:rFonts w:ascii="Times New Roman" w:eastAsiaTheme="minorEastAsia" w:hAnsi="Times New Roman" w:cs="Times New Roman"/>
          <w:color w:val="000000" w:themeColor="text1"/>
          <w:kern w:val="24"/>
          <w:sz w:val="23"/>
          <w:szCs w:val="23"/>
          <w:lang w:val="en-GB"/>
        </w:rPr>
        <w:t xml:space="preserve"> </w:t>
      </w:r>
      <w:r w:rsidR="001E56F8" w:rsidRPr="00B853BC">
        <w:rPr>
          <w:rFonts w:ascii="Times New Roman" w:eastAsia="Calibri" w:hAnsi="Times New Roman" w:cs="Times New Roman"/>
          <w:sz w:val="23"/>
          <w:szCs w:val="23"/>
        </w:rPr>
        <w:t>forced dry sex,</w:t>
      </w:r>
      <w:r w:rsidR="001E56F8" w:rsidRPr="00B853BC">
        <w:rPr>
          <w:rFonts w:ascii="Times New Roman" w:eastAsiaTheme="minorEastAsia" w:hAnsi="Times New Roman" w:cs="Times New Roman"/>
          <w:color w:val="000000" w:themeColor="text1"/>
          <w:kern w:val="24"/>
          <w:sz w:val="23"/>
          <w:szCs w:val="23"/>
        </w:rPr>
        <w:t xml:space="preserve"> </w:t>
      </w:r>
      <w:proofErr w:type="gramStart"/>
      <w:r w:rsidR="001E56F8" w:rsidRPr="00B853BC">
        <w:rPr>
          <w:rFonts w:ascii="Times New Roman" w:eastAsia="Calibri" w:hAnsi="Times New Roman" w:cs="Times New Roman"/>
          <w:sz w:val="23"/>
          <w:szCs w:val="23"/>
        </w:rPr>
        <w:t>incest;</w:t>
      </w:r>
      <w:proofErr w:type="gramEnd"/>
    </w:p>
    <w:p w14:paraId="6A875688" w14:textId="3D0F2120" w:rsidR="00FF54BC" w:rsidRPr="00B853BC" w:rsidRDefault="00FF54BC" w:rsidP="009924D9">
      <w:pPr>
        <w:pStyle w:val="ListParagraph"/>
        <w:numPr>
          <w:ilvl w:val="0"/>
          <w:numId w:val="14"/>
        </w:numPr>
        <w:spacing w:after="0" w:line="240" w:lineRule="auto"/>
        <w:jc w:val="both"/>
        <w:rPr>
          <w:rFonts w:ascii="Times New Roman" w:hAnsi="Times New Roman" w:cs="Times New Roman"/>
          <w:sz w:val="23"/>
          <w:szCs w:val="23"/>
        </w:rPr>
      </w:pPr>
      <w:r w:rsidRPr="00B853BC">
        <w:rPr>
          <w:rFonts w:ascii="Times New Roman" w:eastAsia="Calibri" w:hAnsi="Times New Roman" w:cs="Times New Roman"/>
          <w:sz w:val="23"/>
          <w:szCs w:val="23"/>
          <w:lang w:val="en-GB"/>
        </w:rPr>
        <w:t>Socio-economic</w:t>
      </w:r>
      <w:r w:rsidR="00BA439F" w:rsidRPr="00B853BC">
        <w:rPr>
          <w:rFonts w:ascii="Times New Roman" w:eastAsia="Calibri" w:hAnsi="Times New Roman" w:cs="Times New Roman"/>
          <w:sz w:val="23"/>
          <w:szCs w:val="23"/>
          <w:lang w:val="en-GB"/>
        </w:rPr>
        <w:t xml:space="preserve">: </w:t>
      </w:r>
      <w:r w:rsidRPr="00B853BC">
        <w:rPr>
          <w:rFonts w:ascii="Times New Roman" w:eastAsia="Calibri" w:hAnsi="Times New Roman" w:cs="Times New Roman"/>
          <w:sz w:val="23"/>
          <w:szCs w:val="23"/>
          <w:lang w:val="en-GB"/>
        </w:rPr>
        <w:t>which includes exclusion from decision</w:t>
      </w:r>
      <w:r w:rsidR="00727DF5" w:rsidRPr="00B853BC">
        <w:rPr>
          <w:rFonts w:ascii="Times New Roman" w:eastAsia="Calibri" w:hAnsi="Times New Roman" w:cs="Times New Roman"/>
          <w:sz w:val="23"/>
          <w:szCs w:val="23"/>
          <w:lang w:val="en-GB"/>
        </w:rPr>
        <w:t>-</w:t>
      </w:r>
      <w:r w:rsidRPr="00B853BC">
        <w:rPr>
          <w:rFonts w:ascii="Times New Roman" w:eastAsia="Calibri" w:hAnsi="Times New Roman" w:cs="Times New Roman"/>
          <w:sz w:val="23"/>
          <w:szCs w:val="23"/>
          <w:lang w:val="en-GB"/>
        </w:rPr>
        <w:t xml:space="preserve">making, </w:t>
      </w:r>
      <w:r w:rsidRPr="00B853BC">
        <w:rPr>
          <w:rFonts w:ascii="Times New Roman" w:eastAsia="Calibri" w:hAnsi="Times New Roman" w:cs="Times New Roman"/>
          <w:sz w:val="23"/>
          <w:szCs w:val="23"/>
        </w:rPr>
        <w:t>deprivation of necessities, property grabbing and human trafficking</w:t>
      </w:r>
      <w:r w:rsidR="00BA439F" w:rsidRPr="00B853BC">
        <w:rPr>
          <w:rFonts w:ascii="Times New Roman" w:eastAsia="Calibri" w:hAnsi="Times New Roman" w:cs="Times New Roman"/>
          <w:sz w:val="23"/>
          <w:szCs w:val="23"/>
        </w:rPr>
        <w:t>;</w:t>
      </w:r>
    </w:p>
    <w:p w14:paraId="650F7EA3" w14:textId="114916F8" w:rsidR="00FF54BC" w:rsidRPr="00B853BC" w:rsidRDefault="00FF54BC" w:rsidP="009924D9">
      <w:pPr>
        <w:pStyle w:val="ListParagraph"/>
        <w:numPr>
          <w:ilvl w:val="0"/>
          <w:numId w:val="14"/>
        </w:numPr>
        <w:spacing w:after="0" w:line="240" w:lineRule="auto"/>
        <w:jc w:val="both"/>
        <w:rPr>
          <w:rFonts w:ascii="Times New Roman" w:hAnsi="Times New Roman" w:cs="Times New Roman"/>
          <w:sz w:val="23"/>
          <w:szCs w:val="23"/>
        </w:rPr>
      </w:pPr>
      <w:r w:rsidRPr="00B853BC">
        <w:rPr>
          <w:rFonts w:ascii="Times New Roman" w:eastAsia="Calibri" w:hAnsi="Times New Roman" w:cs="Times New Roman"/>
          <w:sz w:val="23"/>
          <w:szCs w:val="23"/>
        </w:rPr>
        <w:t>Socio-cultural</w:t>
      </w:r>
      <w:r w:rsidR="00BA439F" w:rsidRPr="00B853BC">
        <w:rPr>
          <w:rFonts w:ascii="Times New Roman" w:eastAsia="Calibri" w:hAnsi="Times New Roman" w:cs="Times New Roman"/>
          <w:sz w:val="23"/>
          <w:szCs w:val="23"/>
        </w:rPr>
        <w:t xml:space="preserve">: </w:t>
      </w:r>
      <w:r w:rsidR="00727DF5" w:rsidRPr="00B853BC">
        <w:rPr>
          <w:rFonts w:ascii="Times New Roman" w:eastAsia="Calibri" w:hAnsi="Times New Roman" w:cs="Times New Roman"/>
          <w:sz w:val="23"/>
          <w:szCs w:val="23"/>
        </w:rPr>
        <w:t>this</w:t>
      </w:r>
      <w:r w:rsidRPr="00B853BC">
        <w:rPr>
          <w:rFonts w:ascii="Times New Roman" w:eastAsia="Calibri" w:hAnsi="Times New Roman" w:cs="Times New Roman"/>
          <w:sz w:val="23"/>
          <w:szCs w:val="23"/>
        </w:rPr>
        <w:t xml:space="preserve"> includes harmful traditional and cultural practices such as Female Genital Mutilation (FGM), wife and property inheritance, early and child marriage, dowry and bride price abuse</w:t>
      </w:r>
      <w:r w:rsidRPr="00B853BC">
        <w:rPr>
          <w:rFonts w:ascii="Times New Roman" w:hAnsi="Times New Roman" w:cs="Times New Roman"/>
          <w:sz w:val="23"/>
          <w:szCs w:val="23"/>
        </w:rPr>
        <w:t>.</w:t>
      </w:r>
    </w:p>
    <w:p w14:paraId="292D1FED" w14:textId="77777777" w:rsidR="005E69AC" w:rsidRPr="00B853BC" w:rsidRDefault="005E69AC" w:rsidP="0090595C">
      <w:pPr>
        <w:spacing w:after="0" w:line="240" w:lineRule="auto"/>
        <w:jc w:val="both"/>
        <w:rPr>
          <w:rFonts w:ascii="Times New Roman" w:hAnsi="Times New Roman" w:cs="Times New Roman"/>
          <w:sz w:val="23"/>
          <w:szCs w:val="23"/>
        </w:rPr>
      </w:pPr>
    </w:p>
    <w:p w14:paraId="7DB17726" w14:textId="4CC73322" w:rsidR="00E40716" w:rsidRPr="00B853BC" w:rsidRDefault="00B676FA" w:rsidP="0090595C">
      <w:pPr>
        <w:pStyle w:val="Heading2"/>
        <w:rPr>
          <w:sz w:val="23"/>
          <w:szCs w:val="23"/>
        </w:rPr>
      </w:pPr>
      <w:bookmarkStart w:id="23" w:name="_Toc141127698"/>
      <w:r w:rsidRPr="00B853BC">
        <w:rPr>
          <w:sz w:val="23"/>
          <w:szCs w:val="23"/>
        </w:rPr>
        <w:t>GBV (SEA/SH)</w:t>
      </w:r>
      <w:r w:rsidR="00E40716" w:rsidRPr="00B853BC">
        <w:rPr>
          <w:sz w:val="23"/>
          <w:szCs w:val="23"/>
        </w:rPr>
        <w:t xml:space="preserve"> Prevention in Kenya Applicable for the Project</w:t>
      </w:r>
      <w:bookmarkEnd w:id="23"/>
    </w:p>
    <w:p w14:paraId="6E5F8EAD" w14:textId="77777777" w:rsidR="005E69AC" w:rsidRPr="00B853BC" w:rsidRDefault="005E69AC" w:rsidP="0090595C">
      <w:pPr>
        <w:spacing w:after="0" w:line="240" w:lineRule="auto"/>
        <w:jc w:val="both"/>
        <w:rPr>
          <w:rFonts w:ascii="Times New Roman" w:hAnsi="Times New Roman" w:cs="Times New Roman"/>
          <w:b/>
          <w:bCs/>
          <w:sz w:val="23"/>
          <w:szCs w:val="23"/>
        </w:rPr>
      </w:pPr>
    </w:p>
    <w:p w14:paraId="6C1E789E" w14:textId="3C02E250" w:rsidR="005E69AC" w:rsidRPr="00B853BC" w:rsidRDefault="00E40716" w:rsidP="0090595C">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The Kenyan Government has up in place </w:t>
      </w:r>
      <w:r w:rsidR="00434856" w:rsidRPr="00B853BC">
        <w:rPr>
          <w:rFonts w:ascii="Times New Roman" w:hAnsi="Times New Roman" w:cs="Times New Roman"/>
          <w:sz w:val="23"/>
          <w:szCs w:val="23"/>
        </w:rPr>
        <w:t>mechanism</w:t>
      </w:r>
      <w:r w:rsidR="00727DF5" w:rsidRPr="00B853BC">
        <w:rPr>
          <w:rFonts w:ascii="Times New Roman" w:hAnsi="Times New Roman" w:cs="Times New Roman"/>
          <w:sz w:val="23"/>
          <w:szCs w:val="23"/>
        </w:rPr>
        <w:t>s</w:t>
      </w:r>
      <w:r w:rsidRPr="00B853BC">
        <w:rPr>
          <w:rFonts w:ascii="Times New Roman" w:hAnsi="Times New Roman" w:cs="Times New Roman"/>
          <w:sz w:val="23"/>
          <w:szCs w:val="23"/>
        </w:rPr>
        <w:t xml:space="preserve"> to prevent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that include:</w:t>
      </w:r>
    </w:p>
    <w:p w14:paraId="1C34EB10" w14:textId="41441676" w:rsidR="00E40716" w:rsidRPr="00B853BC" w:rsidRDefault="00E40716" w:rsidP="0090595C">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 </w:t>
      </w:r>
    </w:p>
    <w:p w14:paraId="352A7AD6" w14:textId="773D39D5" w:rsidR="00E40716" w:rsidRPr="00B853BC" w:rsidRDefault="00E40716" w:rsidP="00971226">
      <w:pPr>
        <w:numPr>
          <w:ilvl w:val="0"/>
          <w:numId w:val="10"/>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Preventive Laws and policies: Gender mainstreaming across laws, policies </w:t>
      </w:r>
      <w:proofErr w:type="gramStart"/>
      <w:r w:rsidRPr="00B853BC">
        <w:rPr>
          <w:rFonts w:ascii="Times New Roman" w:hAnsi="Times New Roman" w:cs="Times New Roman"/>
          <w:sz w:val="23"/>
          <w:szCs w:val="23"/>
        </w:rPr>
        <w:t>and,</w:t>
      </w:r>
      <w:proofErr w:type="gramEnd"/>
      <w:r w:rsidRPr="00B853BC">
        <w:rPr>
          <w:rFonts w:ascii="Times New Roman" w:hAnsi="Times New Roman" w:cs="Times New Roman"/>
          <w:sz w:val="23"/>
          <w:szCs w:val="23"/>
        </w:rPr>
        <w:t xml:space="preserve"> </w:t>
      </w:r>
      <w:proofErr w:type="spellStart"/>
      <w:r w:rsidRPr="00B853BC">
        <w:rPr>
          <w:rFonts w:ascii="Times New Roman" w:hAnsi="Times New Roman" w:cs="Times New Roman"/>
          <w:sz w:val="23"/>
          <w:szCs w:val="23"/>
        </w:rPr>
        <w:t>programmes</w:t>
      </w:r>
      <w:proofErr w:type="spellEnd"/>
      <w:r w:rsidRPr="00B853BC">
        <w:rPr>
          <w:rFonts w:ascii="Times New Roman" w:hAnsi="Times New Roman" w:cs="Times New Roman"/>
          <w:sz w:val="23"/>
          <w:szCs w:val="23"/>
        </w:rPr>
        <w:t>;</w:t>
      </w:r>
      <w:r w:rsidR="00BC38AA">
        <w:rPr>
          <w:rFonts w:ascii="Times New Roman" w:hAnsi="Times New Roman" w:cs="Times New Roman"/>
          <w:sz w:val="23"/>
          <w:szCs w:val="23"/>
        </w:rPr>
        <w:t xml:space="preserve"> </w:t>
      </w:r>
      <w:r w:rsidRPr="00B853BC">
        <w:rPr>
          <w:rFonts w:ascii="Times New Roman" w:hAnsi="Times New Roman" w:cs="Times New Roman"/>
          <w:sz w:val="23"/>
          <w:szCs w:val="23"/>
        </w:rPr>
        <w:t>Enactment, amendment and implementation of laws and policies in line with the Constitution, international and regional human rights commitments</w:t>
      </w:r>
      <w:r w:rsidR="00BC38AA">
        <w:rPr>
          <w:rFonts w:ascii="Times New Roman" w:hAnsi="Times New Roman" w:cs="Times New Roman"/>
          <w:sz w:val="23"/>
          <w:szCs w:val="23"/>
        </w:rPr>
        <w:t xml:space="preserve">. </w:t>
      </w:r>
      <w:r w:rsidRPr="00B853BC">
        <w:rPr>
          <w:rFonts w:ascii="Times New Roman" w:hAnsi="Times New Roman" w:cs="Times New Roman"/>
          <w:sz w:val="23"/>
          <w:szCs w:val="23"/>
        </w:rPr>
        <w:t xml:space="preserve">Implementation of Standards and guidelines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prevention at public and private service delivery </w:t>
      </w:r>
      <w:proofErr w:type="spellStart"/>
      <w:r w:rsidRPr="00B853BC">
        <w:rPr>
          <w:rFonts w:ascii="Times New Roman" w:hAnsi="Times New Roman" w:cs="Times New Roman"/>
          <w:sz w:val="23"/>
          <w:szCs w:val="23"/>
        </w:rPr>
        <w:t>centres</w:t>
      </w:r>
      <w:proofErr w:type="spellEnd"/>
      <w:r w:rsidRPr="00B853BC">
        <w:rPr>
          <w:rFonts w:ascii="Times New Roman" w:hAnsi="Times New Roman" w:cs="Times New Roman"/>
          <w:sz w:val="23"/>
          <w:szCs w:val="23"/>
        </w:rPr>
        <w:t>.</w:t>
      </w:r>
    </w:p>
    <w:p w14:paraId="39B73C29" w14:textId="5D4AF333" w:rsidR="00E40716" w:rsidRPr="00B853BC" w:rsidRDefault="00E40716" w:rsidP="00971226">
      <w:pPr>
        <w:numPr>
          <w:ilvl w:val="0"/>
          <w:numId w:val="10"/>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Harmful Social Cultural Practices and norms: Develop an advocacy and public awareness strategy for </w:t>
      </w:r>
      <w:r w:rsidR="00B676FA" w:rsidRPr="00B853BC">
        <w:rPr>
          <w:rFonts w:ascii="Times New Roman" w:hAnsi="Times New Roman" w:cs="Times New Roman"/>
          <w:sz w:val="23"/>
          <w:szCs w:val="23"/>
        </w:rPr>
        <w:t>GBV (SEA/SH)</w:t>
      </w:r>
      <w:r w:rsidR="00BC38AA">
        <w:rPr>
          <w:rFonts w:ascii="Times New Roman" w:hAnsi="Times New Roman" w:cs="Times New Roman"/>
          <w:sz w:val="23"/>
          <w:szCs w:val="23"/>
        </w:rPr>
        <w:t xml:space="preserve">. </w:t>
      </w:r>
      <w:r w:rsidRPr="00B853BC">
        <w:rPr>
          <w:rFonts w:ascii="Times New Roman" w:hAnsi="Times New Roman" w:cs="Times New Roman"/>
          <w:sz w:val="23"/>
          <w:szCs w:val="23"/>
        </w:rPr>
        <w:t xml:space="preserve">Engage men and boys as allies, advocates, role models, </w:t>
      </w:r>
      <w:r w:rsidRPr="00B853BC">
        <w:rPr>
          <w:rFonts w:ascii="Times New Roman" w:hAnsi="Times New Roman" w:cs="Times New Roman"/>
          <w:sz w:val="23"/>
          <w:szCs w:val="23"/>
        </w:rPr>
        <w:lastRenderedPageBreak/>
        <w:t xml:space="preserve">champions and change agents in advocacy against </w:t>
      </w:r>
      <w:r w:rsidR="00B676FA" w:rsidRPr="00B853BC">
        <w:rPr>
          <w:rFonts w:ascii="Times New Roman" w:hAnsi="Times New Roman" w:cs="Times New Roman"/>
          <w:sz w:val="23"/>
          <w:szCs w:val="23"/>
        </w:rPr>
        <w:t>GBV (SEA/SH)</w:t>
      </w:r>
      <w:r w:rsidR="00A60C5C">
        <w:rPr>
          <w:rFonts w:ascii="Times New Roman" w:hAnsi="Times New Roman" w:cs="Times New Roman"/>
          <w:sz w:val="23"/>
          <w:szCs w:val="23"/>
        </w:rPr>
        <w:t xml:space="preserve">. </w:t>
      </w:r>
      <w:r w:rsidRPr="00B853BC">
        <w:rPr>
          <w:rFonts w:ascii="Times New Roman" w:hAnsi="Times New Roman" w:cs="Times New Roman"/>
          <w:sz w:val="23"/>
          <w:szCs w:val="23"/>
        </w:rPr>
        <w:t>Provide alternative sources of income for female circumcisers.</w:t>
      </w:r>
    </w:p>
    <w:p w14:paraId="458BB142" w14:textId="6C72FC3E" w:rsidR="00E40716" w:rsidRPr="00B853BC" w:rsidRDefault="00E40716" w:rsidP="00971226">
      <w:pPr>
        <w:numPr>
          <w:ilvl w:val="0"/>
          <w:numId w:val="10"/>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Enforcement: Capacity development of institutions and service providers responding to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across sectors including teachers, healthcare workers, Police, Chiefs, Magistrates, and Judges.</w:t>
      </w:r>
    </w:p>
    <w:p w14:paraId="1B1C0BF1" w14:textId="4F6C1113" w:rsidR="00E40716" w:rsidRPr="00B853BC" w:rsidRDefault="00E40716" w:rsidP="00971226">
      <w:pPr>
        <w:numPr>
          <w:ilvl w:val="0"/>
          <w:numId w:val="10"/>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Curriculum development: Integrate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training as part of the training curricula for Police, medical doctors, and schools.</w:t>
      </w:r>
    </w:p>
    <w:p w14:paraId="762D4489" w14:textId="77777777" w:rsidR="00521C3C" w:rsidRPr="00B853BC" w:rsidRDefault="00521C3C" w:rsidP="00BC38AA">
      <w:pPr>
        <w:spacing w:after="0" w:line="240" w:lineRule="auto"/>
        <w:jc w:val="both"/>
        <w:rPr>
          <w:rFonts w:ascii="Times New Roman" w:hAnsi="Times New Roman" w:cs="Times New Roman"/>
          <w:sz w:val="23"/>
          <w:szCs w:val="23"/>
        </w:rPr>
      </w:pPr>
    </w:p>
    <w:p w14:paraId="1E02E3A9" w14:textId="387F99EF" w:rsidR="00E40716" w:rsidRPr="00B853BC" w:rsidRDefault="00503FDA" w:rsidP="005E69AC">
      <w:pPr>
        <w:pStyle w:val="Heading2"/>
        <w:rPr>
          <w:sz w:val="23"/>
          <w:szCs w:val="23"/>
        </w:rPr>
      </w:pPr>
      <w:bookmarkStart w:id="24" w:name="_Toc141127699"/>
      <w:r w:rsidRPr="00B853BC">
        <w:rPr>
          <w:sz w:val="23"/>
          <w:szCs w:val="23"/>
        </w:rPr>
        <w:t>A</w:t>
      </w:r>
      <w:r w:rsidR="00E40716" w:rsidRPr="00B853BC">
        <w:rPr>
          <w:sz w:val="23"/>
          <w:szCs w:val="23"/>
        </w:rPr>
        <w:t>ccess to Quality and Comprehensive Responsive and Support Services</w:t>
      </w:r>
      <w:bookmarkEnd w:id="24"/>
    </w:p>
    <w:p w14:paraId="5501C5E0" w14:textId="77777777" w:rsidR="005E69AC" w:rsidRPr="00B853BC" w:rsidRDefault="005E69AC" w:rsidP="0000255F">
      <w:pPr>
        <w:spacing w:after="0" w:line="240" w:lineRule="auto"/>
        <w:jc w:val="both"/>
        <w:rPr>
          <w:rFonts w:ascii="Times New Roman" w:hAnsi="Times New Roman" w:cs="Times New Roman"/>
          <w:sz w:val="23"/>
          <w:szCs w:val="23"/>
        </w:rPr>
      </w:pPr>
    </w:p>
    <w:p w14:paraId="6FE48C54" w14:textId="533BF0A1" w:rsidR="00E40716" w:rsidRPr="00B853BC" w:rsidRDefault="00E40716" w:rsidP="0000255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The National Guidelines on the Management of Sexual Violence (2014) details the management of sexual violence and outlines the steps for the treatment of sexual violence survivors</w:t>
      </w:r>
      <w:r w:rsidR="005E69AC" w:rsidRPr="00B853BC">
        <w:rPr>
          <w:rFonts w:ascii="Times New Roman" w:hAnsi="Times New Roman" w:cs="Times New Roman"/>
          <w:sz w:val="23"/>
          <w:szCs w:val="23"/>
        </w:rPr>
        <w:t>:</w:t>
      </w:r>
    </w:p>
    <w:p w14:paraId="3D8B3C89" w14:textId="77777777" w:rsidR="005E69AC" w:rsidRPr="00B853BC" w:rsidRDefault="005E69AC" w:rsidP="0000255F">
      <w:pPr>
        <w:spacing w:after="0" w:line="240" w:lineRule="auto"/>
        <w:jc w:val="both"/>
        <w:rPr>
          <w:rFonts w:ascii="Times New Roman" w:hAnsi="Times New Roman" w:cs="Times New Roman"/>
          <w:sz w:val="23"/>
          <w:szCs w:val="23"/>
        </w:rPr>
      </w:pPr>
    </w:p>
    <w:p w14:paraId="2DE86CBA" w14:textId="55B0F612"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The government continues to ensure access to services. This involved </w:t>
      </w:r>
      <w:r w:rsidR="00727DF5" w:rsidRPr="00B853BC">
        <w:rPr>
          <w:rFonts w:ascii="Times New Roman" w:hAnsi="Times New Roman" w:cs="Times New Roman"/>
          <w:sz w:val="23"/>
          <w:szCs w:val="23"/>
        </w:rPr>
        <w:t xml:space="preserve">the </w:t>
      </w:r>
      <w:r w:rsidRPr="00B853BC">
        <w:rPr>
          <w:rFonts w:ascii="Times New Roman" w:hAnsi="Times New Roman" w:cs="Times New Roman"/>
          <w:sz w:val="23"/>
          <w:szCs w:val="23"/>
        </w:rPr>
        <w:t xml:space="preserve">capacity development of institutions and service providers responding to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across sectors.</w:t>
      </w:r>
    </w:p>
    <w:p w14:paraId="489FD8F0" w14:textId="24598007"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Standards and guidelines to regulate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response across sectors.</w:t>
      </w:r>
    </w:p>
    <w:p w14:paraId="37523FF6" w14:textId="37EFC7B4"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Healthcare and psychosocial support services are available in healthcare facilities in Nairobi these services are available.</w:t>
      </w:r>
    </w:p>
    <w:p w14:paraId="696C92DC" w14:textId="04CD061C"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Reporting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perpetrators, as guided by the provision of the code of conduct issued by public service and police services available.</w:t>
      </w:r>
    </w:p>
    <w:p w14:paraId="054B019B" w14:textId="373149D2"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Establishment of gender desks within police stations that provide safe spaces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survivors to report. </w:t>
      </w:r>
    </w:p>
    <w:p w14:paraId="29893834" w14:textId="3A57080C"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Enhanced legal aid services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victims through collaboration with the National Legal Aid Service (NALEAP), Law Society of Kenya (LSK), and legal aid-providing civil society organizations. </w:t>
      </w:r>
    </w:p>
    <w:p w14:paraId="103DF2C4" w14:textId="77777777"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The public service code of conduct includes disciplinary measures for perpetrators of sexual harassment at the workplace.</w:t>
      </w:r>
    </w:p>
    <w:p w14:paraId="339714CF" w14:textId="77777777"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Creation of awareness of existing services for increased uptake.</w:t>
      </w:r>
    </w:p>
    <w:p w14:paraId="4606073D" w14:textId="1FA4B61A" w:rsidR="00E40716" w:rsidRPr="00B853BC"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Development of a national directory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service providers</w:t>
      </w:r>
    </w:p>
    <w:p w14:paraId="70509848" w14:textId="280758E7" w:rsidR="00E40716" w:rsidRDefault="00E40716" w:rsidP="00971226">
      <w:pPr>
        <w:numPr>
          <w:ilvl w:val="0"/>
          <w:numId w:val="11"/>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Development of a multi-sectoral and multi-stakeholder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referral mechanism.</w:t>
      </w:r>
    </w:p>
    <w:p w14:paraId="7C2617F0" w14:textId="77777777" w:rsidR="005E69AC" w:rsidRPr="00B853BC" w:rsidRDefault="005E69AC" w:rsidP="005E69AC">
      <w:pPr>
        <w:spacing w:after="0" w:line="240" w:lineRule="auto"/>
        <w:jc w:val="both"/>
        <w:rPr>
          <w:rFonts w:ascii="Times New Roman" w:hAnsi="Times New Roman" w:cs="Times New Roman"/>
          <w:sz w:val="23"/>
          <w:szCs w:val="23"/>
        </w:rPr>
      </w:pPr>
    </w:p>
    <w:p w14:paraId="5EEEFC4A" w14:textId="01FECA50" w:rsidR="00E40716" w:rsidRPr="00B853BC" w:rsidRDefault="00E40716" w:rsidP="005E69AC">
      <w:pPr>
        <w:pStyle w:val="Heading2"/>
        <w:rPr>
          <w:sz w:val="23"/>
          <w:szCs w:val="23"/>
        </w:rPr>
      </w:pPr>
      <w:bookmarkStart w:id="25" w:name="_Toc141127700"/>
      <w:r w:rsidRPr="00B853BC">
        <w:rPr>
          <w:sz w:val="23"/>
          <w:szCs w:val="23"/>
        </w:rPr>
        <w:t>Coordination</w:t>
      </w:r>
      <w:bookmarkEnd w:id="25"/>
    </w:p>
    <w:p w14:paraId="01F48C74" w14:textId="77777777" w:rsidR="005E69AC" w:rsidRPr="00B853BC" w:rsidRDefault="005E69AC" w:rsidP="0000255F">
      <w:pPr>
        <w:spacing w:after="0" w:line="240" w:lineRule="auto"/>
        <w:jc w:val="both"/>
        <w:rPr>
          <w:rFonts w:ascii="Times New Roman" w:hAnsi="Times New Roman" w:cs="Times New Roman"/>
          <w:sz w:val="23"/>
          <w:szCs w:val="23"/>
        </w:rPr>
      </w:pPr>
    </w:p>
    <w:p w14:paraId="11517FB9" w14:textId="48700436" w:rsidR="00E40716" w:rsidRPr="00B853BC" w:rsidRDefault="00E40716" w:rsidP="0000255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Kenya has established a multi-stakeholder and multi-dimensional coordination framework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interventions across all levels. This has involved partnerships among stakeholders along thematic areas of operation for </w:t>
      </w:r>
      <w:r w:rsidR="00727DF5" w:rsidRPr="00B853BC">
        <w:rPr>
          <w:rFonts w:ascii="Times New Roman" w:hAnsi="Times New Roman" w:cs="Times New Roman"/>
          <w:sz w:val="23"/>
          <w:szCs w:val="23"/>
        </w:rPr>
        <w:t xml:space="preserve">the </w:t>
      </w:r>
      <w:r w:rsidRPr="00B853BC">
        <w:rPr>
          <w:rFonts w:ascii="Times New Roman" w:hAnsi="Times New Roman" w:cs="Times New Roman"/>
          <w:sz w:val="23"/>
          <w:szCs w:val="23"/>
        </w:rPr>
        <w:t xml:space="preserve">establishment of referral infrastructure and linkages cutting across sectors working on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response and the establishment of a rapid response mechanism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response.</w:t>
      </w:r>
    </w:p>
    <w:p w14:paraId="6339B66A" w14:textId="77777777" w:rsidR="00016EEC" w:rsidRPr="00B853BC" w:rsidRDefault="00016EEC" w:rsidP="0000255F">
      <w:pPr>
        <w:spacing w:after="0" w:line="240" w:lineRule="auto"/>
        <w:jc w:val="both"/>
        <w:rPr>
          <w:rFonts w:ascii="Times New Roman" w:hAnsi="Times New Roman" w:cs="Times New Roman"/>
          <w:sz w:val="23"/>
          <w:szCs w:val="23"/>
        </w:rPr>
      </w:pPr>
    </w:p>
    <w:p w14:paraId="7E9D91B4" w14:textId="6665828D" w:rsidR="00E40716" w:rsidRPr="00B853BC" w:rsidRDefault="00E40716" w:rsidP="005E69AC">
      <w:pPr>
        <w:pStyle w:val="Heading2"/>
        <w:rPr>
          <w:sz w:val="23"/>
          <w:szCs w:val="23"/>
        </w:rPr>
      </w:pPr>
      <w:bookmarkStart w:id="26" w:name="_Toc141127701"/>
      <w:r w:rsidRPr="00B853BC">
        <w:rPr>
          <w:sz w:val="23"/>
          <w:szCs w:val="23"/>
        </w:rPr>
        <w:t>Data Management and Monitoring &amp; Evaluation</w:t>
      </w:r>
      <w:bookmarkEnd w:id="26"/>
    </w:p>
    <w:p w14:paraId="6F4E7111" w14:textId="77777777" w:rsidR="005E69AC" w:rsidRPr="00B853BC" w:rsidRDefault="005E69AC" w:rsidP="0000255F">
      <w:pPr>
        <w:spacing w:after="0" w:line="240" w:lineRule="auto"/>
        <w:jc w:val="both"/>
        <w:rPr>
          <w:rFonts w:ascii="Times New Roman" w:hAnsi="Times New Roman" w:cs="Times New Roman"/>
          <w:sz w:val="23"/>
          <w:szCs w:val="23"/>
        </w:rPr>
      </w:pPr>
    </w:p>
    <w:p w14:paraId="7DEB9AC0" w14:textId="0C5E739F" w:rsidR="00E40716" w:rsidRPr="00B853BC" w:rsidRDefault="00E40716" w:rsidP="0000255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Kenya has established a comprehensive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monitoring and evaluation framework cutting across sectors at </w:t>
      </w:r>
      <w:r w:rsidR="00727DF5" w:rsidRPr="00B853BC">
        <w:rPr>
          <w:rFonts w:ascii="Times New Roman" w:hAnsi="Times New Roman" w:cs="Times New Roman"/>
          <w:sz w:val="23"/>
          <w:szCs w:val="23"/>
        </w:rPr>
        <w:t xml:space="preserve">the </w:t>
      </w:r>
      <w:r w:rsidRPr="00B853BC">
        <w:rPr>
          <w:rFonts w:ascii="Times New Roman" w:hAnsi="Times New Roman" w:cs="Times New Roman"/>
          <w:sz w:val="23"/>
          <w:szCs w:val="23"/>
        </w:rPr>
        <w:t xml:space="preserve">national and county level. </w:t>
      </w:r>
    </w:p>
    <w:p w14:paraId="5C2B08F2" w14:textId="77777777" w:rsidR="005E69AC" w:rsidRPr="00B853BC" w:rsidRDefault="005E69AC" w:rsidP="0000255F">
      <w:pPr>
        <w:spacing w:after="0" w:line="240" w:lineRule="auto"/>
        <w:jc w:val="both"/>
        <w:rPr>
          <w:rFonts w:ascii="Times New Roman" w:hAnsi="Times New Roman" w:cs="Times New Roman"/>
          <w:sz w:val="23"/>
          <w:szCs w:val="23"/>
        </w:rPr>
      </w:pPr>
    </w:p>
    <w:p w14:paraId="529CBB66" w14:textId="5D37DD48" w:rsidR="00E40716" w:rsidRPr="00B853BC" w:rsidRDefault="00E40716" w:rsidP="005E69AC">
      <w:pPr>
        <w:pStyle w:val="Heading2"/>
        <w:rPr>
          <w:sz w:val="23"/>
          <w:szCs w:val="23"/>
        </w:rPr>
      </w:pPr>
      <w:bookmarkStart w:id="27" w:name="_Toc141127702"/>
      <w:r w:rsidRPr="00B853BC">
        <w:rPr>
          <w:sz w:val="23"/>
          <w:szCs w:val="23"/>
        </w:rPr>
        <w:t>Research and development</w:t>
      </w:r>
      <w:bookmarkEnd w:id="27"/>
    </w:p>
    <w:p w14:paraId="638D116D" w14:textId="77777777" w:rsidR="005E69AC" w:rsidRPr="00B853BC" w:rsidRDefault="005E69AC" w:rsidP="0000255F">
      <w:pPr>
        <w:spacing w:after="0" w:line="240" w:lineRule="auto"/>
        <w:jc w:val="both"/>
        <w:rPr>
          <w:rFonts w:ascii="Times New Roman" w:hAnsi="Times New Roman" w:cs="Times New Roman"/>
          <w:sz w:val="23"/>
          <w:szCs w:val="23"/>
        </w:rPr>
      </w:pPr>
    </w:p>
    <w:p w14:paraId="61CE1770" w14:textId="23A11EAE" w:rsidR="00E40716" w:rsidRPr="00B853BC" w:rsidRDefault="00E40716" w:rsidP="0000255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The Government undertakes periodic studies, surveys and research to inform policies and </w:t>
      </w:r>
      <w:proofErr w:type="spellStart"/>
      <w:r w:rsidRPr="00B853BC">
        <w:rPr>
          <w:rFonts w:ascii="Times New Roman" w:hAnsi="Times New Roman" w:cs="Times New Roman"/>
          <w:sz w:val="23"/>
          <w:szCs w:val="23"/>
        </w:rPr>
        <w:t>programmes</w:t>
      </w:r>
      <w:proofErr w:type="spellEnd"/>
      <w:r w:rsidRPr="00B853BC">
        <w:rPr>
          <w:rFonts w:ascii="Times New Roman" w:hAnsi="Times New Roman" w:cs="Times New Roman"/>
          <w:sz w:val="23"/>
          <w:szCs w:val="23"/>
        </w:rPr>
        <w:t xml:space="preserve"> addressing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w:t>
      </w:r>
    </w:p>
    <w:p w14:paraId="4B7C1E45" w14:textId="77777777" w:rsidR="005E69AC" w:rsidRPr="00B853BC" w:rsidRDefault="005E69AC" w:rsidP="0000255F">
      <w:pPr>
        <w:spacing w:after="0" w:line="240" w:lineRule="auto"/>
        <w:jc w:val="both"/>
        <w:rPr>
          <w:rFonts w:ascii="Times New Roman" w:hAnsi="Times New Roman" w:cs="Times New Roman"/>
          <w:sz w:val="23"/>
          <w:szCs w:val="23"/>
        </w:rPr>
      </w:pPr>
    </w:p>
    <w:p w14:paraId="3A66064B" w14:textId="096720AE" w:rsidR="00E40716" w:rsidRPr="00B853BC" w:rsidRDefault="00E40716" w:rsidP="005E69AC">
      <w:pPr>
        <w:pStyle w:val="Heading2"/>
        <w:rPr>
          <w:sz w:val="23"/>
          <w:szCs w:val="23"/>
        </w:rPr>
      </w:pPr>
      <w:bookmarkStart w:id="28" w:name="_Toc141127703"/>
      <w:r w:rsidRPr="00B853BC">
        <w:rPr>
          <w:sz w:val="23"/>
          <w:szCs w:val="23"/>
        </w:rPr>
        <w:lastRenderedPageBreak/>
        <w:t xml:space="preserve">Resource Mobilization Towards Sustainable </w:t>
      </w:r>
      <w:r w:rsidR="00B676FA" w:rsidRPr="00B853BC">
        <w:rPr>
          <w:sz w:val="23"/>
          <w:szCs w:val="23"/>
        </w:rPr>
        <w:t>GBV (SEA/SH)</w:t>
      </w:r>
      <w:r w:rsidRPr="00B853BC">
        <w:rPr>
          <w:sz w:val="23"/>
          <w:szCs w:val="23"/>
        </w:rPr>
        <w:t xml:space="preserve"> Response and Prevention </w:t>
      </w:r>
      <w:proofErr w:type="spellStart"/>
      <w:r w:rsidRPr="00B853BC">
        <w:rPr>
          <w:sz w:val="23"/>
          <w:szCs w:val="23"/>
        </w:rPr>
        <w:t>Programmes</w:t>
      </w:r>
      <w:bookmarkEnd w:id="28"/>
      <w:proofErr w:type="spellEnd"/>
    </w:p>
    <w:p w14:paraId="7D00F40D" w14:textId="77777777" w:rsidR="005E69AC" w:rsidRPr="00B853BC" w:rsidRDefault="005E69AC" w:rsidP="0000255F">
      <w:pPr>
        <w:spacing w:after="0" w:line="240" w:lineRule="auto"/>
        <w:jc w:val="both"/>
        <w:rPr>
          <w:rFonts w:ascii="Times New Roman" w:hAnsi="Times New Roman" w:cs="Times New Roman"/>
          <w:sz w:val="23"/>
          <w:szCs w:val="23"/>
        </w:rPr>
      </w:pPr>
    </w:p>
    <w:p w14:paraId="770C4695" w14:textId="5E0ED535" w:rsidR="00E40716" w:rsidRPr="00B853BC" w:rsidRDefault="00E40716" w:rsidP="0000255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The government continues</w:t>
      </w:r>
      <w:r w:rsidR="00727DF5" w:rsidRPr="00B853BC">
        <w:rPr>
          <w:rFonts w:ascii="Times New Roman" w:hAnsi="Times New Roman" w:cs="Times New Roman"/>
          <w:sz w:val="23"/>
          <w:szCs w:val="23"/>
        </w:rPr>
        <w:t xml:space="preserve"> to</w:t>
      </w:r>
      <w:r w:rsidRPr="00B853BC">
        <w:rPr>
          <w:rFonts w:ascii="Times New Roman" w:hAnsi="Times New Roman" w:cs="Times New Roman"/>
          <w:sz w:val="23"/>
          <w:szCs w:val="23"/>
        </w:rPr>
        <w:t xml:space="preserve"> ensure that there is sufficient budgetary allocation by Government to implement this the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policy by promoting a gender</w:t>
      </w:r>
      <w:r w:rsidR="00727DF5" w:rsidRPr="00B853BC">
        <w:rPr>
          <w:rFonts w:ascii="Times New Roman" w:hAnsi="Times New Roman" w:cs="Times New Roman"/>
          <w:sz w:val="23"/>
          <w:szCs w:val="23"/>
        </w:rPr>
        <w:t>-</w:t>
      </w:r>
      <w:r w:rsidRPr="00B853BC">
        <w:rPr>
          <w:rFonts w:ascii="Times New Roman" w:hAnsi="Times New Roman" w:cs="Times New Roman"/>
          <w:sz w:val="23"/>
          <w:szCs w:val="23"/>
        </w:rPr>
        <w:t xml:space="preserve">responsive budgeting, strengthening collaboration with development partners, fostering public-private partnerships, providing technical support to key government institutions charged with implementing the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policy, through the ministry of devolution and planning.</w:t>
      </w:r>
    </w:p>
    <w:p w14:paraId="3B358965" w14:textId="77777777" w:rsidR="005E69AC" w:rsidRPr="00B853BC" w:rsidRDefault="005E69AC" w:rsidP="0000255F">
      <w:pPr>
        <w:spacing w:after="0" w:line="240" w:lineRule="auto"/>
        <w:jc w:val="both"/>
        <w:rPr>
          <w:rFonts w:ascii="Times New Roman" w:hAnsi="Times New Roman" w:cs="Times New Roman"/>
          <w:sz w:val="23"/>
          <w:szCs w:val="23"/>
        </w:rPr>
      </w:pPr>
    </w:p>
    <w:p w14:paraId="2CFCAC14" w14:textId="440F9E94" w:rsidR="00E40716" w:rsidRPr="00B853BC" w:rsidRDefault="00E40716" w:rsidP="005E69AC">
      <w:pPr>
        <w:pStyle w:val="Heading2"/>
        <w:rPr>
          <w:sz w:val="23"/>
          <w:szCs w:val="23"/>
        </w:rPr>
      </w:pPr>
      <w:bookmarkStart w:id="29" w:name="_Toc141127704"/>
      <w:r w:rsidRPr="00B853BC">
        <w:rPr>
          <w:sz w:val="23"/>
          <w:szCs w:val="23"/>
        </w:rPr>
        <w:t>Sustainability</w:t>
      </w:r>
      <w:bookmarkEnd w:id="29"/>
    </w:p>
    <w:p w14:paraId="54BC1D45" w14:textId="77777777" w:rsidR="005E69AC" w:rsidRPr="00B853BC" w:rsidRDefault="005E69AC" w:rsidP="0000255F">
      <w:pPr>
        <w:spacing w:after="0" w:line="240" w:lineRule="auto"/>
        <w:jc w:val="both"/>
        <w:rPr>
          <w:rFonts w:ascii="Times New Roman" w:hAnsi="Times New Roman" w:cs="Times New Roman"/>
          <w:sz w:val="23"/>
          <w:szCs w:val="23"/>
        </w:rPr>
      </w:pPr>
    </w:p>
    <w:p w14:paraId="74624F1C" w14:textId="66CBECB4" w:rsidR="00E40716" w:rsidRPr="00B853BC" w:rsidRDefault="00E40716" w:rsidP="0000255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The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policies promotes community participation, integrating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strategy into existing financing mechanisms and fostering inter-agency cooperation in the delivery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services.</w:t>
      </w:r>
    </w:p>
    <w:p w14:paraId="6F874E92" w14:textId="77777777" w:rsidR="005E69AC" w:rsidRPr="00B853BC" w:rsidRDefault="005E69AC" w:rsidP="0000255F">
      <w:pPr>
        <w:spacing w:after="0" w:line="240" w:lineRule="auto"/>
        <w:jc w:val="both"/>
        <w:rPr>
          <w:rFonts w:ascii="Times New Roman" w:hAnsi="Times New Roman" w:cs="Times New Roman"/>
          <w:sz w:val="23"/>
          <w:szCs w:val="23"/>
        </w:rPr>
      </w:pPr>
    </w:p>
    <w:p w14:paraId="7A81C8D3" w14:textId="3CB88224" w:rsidR="00E40716" w:rsidRPr="00B853BC" w:rsidRDefault="00E40716" w:rsidP="005E69AC">
      <w:pPr>
        <w:pStyle w:val="Heading2"/>
        <w:rPr>
          <w:sz w:val="23"/>
          <w:szCs w:val="23"/>
        </w:rPr>
      </w:pPr>
      <w:bookmarkStart w:id="30" w:name="_Toc141127705"/>
      <w:r w:rsidRPr="00B853BC">
        <w:rPr>
          <w:sz w:val="23"/>
          <w:szCs w:val="23"/>
        </w:rPr>
        <w:t xml:space="preserve">Institutional Setup for Management of </w:t>
      </w:r>
      <w:r w:rsidR="00B676FA" w:rsidRPr="00B853BC">
        <w:rPr>
          <w:sz w:val="23"/>
          <w:szCs w:val="23"/>
        </w:rPr>
        <w:t>GBV (SEA/SH)</w:t>
      </w:r>
      <w:r w:rsidRPr="00B853BC">
        <w:rPr>
          <w:sz w:val="23"/>
          <w:szCs w:val="23"/>
        </w:rPr>
        <w:t xml:space="preserve"> in Kenya</w:t>
      </w:r>
      <w:bookmarkEnd w:id="30"/>
    </w:p>
    <w:p w14:paraId="05F2CC6A" w14:textId="77777777" w:rsidR="005E69AC" w:rsidRPr="00B853BC" w:rsidRDefault="005E69AC" w:rsidP="0000255F">
      <w:pPr>
        <w:spacing w:after="0" w:line="240" w:lineRule="auto"/>
        <w:jc w:val="both"/>
        <w:rPr>
          <w:rFonts w:ascii="Times New Roman" w:hAnsi="Times New Roman" w:cs="Times New Roman"/>
          <w:sz w:val="23"/>
          <w:szCs w:val="23"/>
        </w:rPr>
      </w:pPr>
    </w:p>
    <w:p w14:paraId="600236F8" w14:textId="7A1636F4" w:rsidR="00E40716" w:rsidRPr="00B853BC" w:rsidRDefault="00E40716" w:rsidP="0000255F">
      <w:p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As guided by the legal framework, institutions involved in </w:t>
      </w:r>
      <w:r w:rsidR="00727DF5" w:rsidRPr="00B853BC">
        <w:rPr>
          <w:rFonts w:ascii="Times New Roman" w:hAnsi="Times New Roman" w:cs="Times New Roman"/>
          <w:sz w:val="23"/>
          <w:szCs w:val="23"/>
        </w:rPr>
        <w:t xml:space="preserve">the </w:t>
      </w:r>
      <w:r w:rsidRPr="00B853BC">
        <w:rPr>
          <w:rFonts w:ascii="Times New Roman" w:hAnsi="Times New Roman" w:cs="Times New Roman"/>
          <w:sz w:val="23"/>
          <w:szCs w:val="23"/>
        </w:rPr>
        <w:t xml:space="preserve">management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include: </w:t>
      </w:r>
    </w:p>
    <w:p w14:paraId="57FD012B" w14:textId="77777777" w:rsidR="005E69AC" w:rsidRPr="00B853BC" w:rsidRDefault="005E69AC" w:rsidP="0000255F">
      <w:pPr>
        <w:spacing w:after="0" w:line="240" w:lineRule="auto"/>
        <w:jc w:val="both"/>
        <w:rPr>
          <w:rFonts w:ascii="Times New Roman" w:hAnsi="Times New Roman" w:cs="Times New Roman"/>
          <w:sz w:val="23"/>
          <w:szCs w:val="23"/>
        </w:rPr>
      </w:pPr>
    </w:p>
    <w:p w14:paraId="5003ACB9" w14:textId="414733A3"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Ministry responsible for Gender: Overall leadership and coordination in policy implementation, resource mobilization, data aggregation and analysis.</w:t>
      </w:r>
    </w:p>
    <w:p w14:paraId="38060CE0" w14:textId="77777777"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National Gender and Equality Commission: Provide oversight on the implementation of the Policy by state and non-state actors.</w:t>
      </w:r>
    </w:p>
    <w:p w14:paraId="5B28B4C8" w14:textId="5EB69A40"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Ministry responsible for Health: Delivering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health</w:t>
      </w:r>
      <w:r w:rsidR="00727DF5" w:rsidRPr="00B853BC">
        <w:rPr>
          <w:rFonts w:ascii="Times New Roman" w:hAnsi="Times New Roman" w:cs="Times New Roman"/>
          <w:sz w:val="23"/>
          <w:szCs w:val="23"/>
        </w:rPr>
        <w:t>-</w:t>
      </w:r>
      <w:r w:rsidRPr="00B853BC">
        <w:rPr>
          <w:rFonts w:ascii="Times New Roman" w:hAnsi="Times New Roman" w:cs="Times New Roman"/>
          <w:sz w:val="23"/>
          <w:szCs w:val="23"/>
        </w:rPr>
        <w:t>related services at national and county level</w:t>
      </w:r>
      <w:r w:rsidR="00727DF5" w:rsidRPr="00B853BC">
        <w:rPr>
          <w:rFonts w:ascii="Times New Roman" w:hAnsi="Times New Roman" w:cs="Times New Roman"/>
          <w:sz w:val="23"/>
          <w:szCs w:val="23"/>
        </w:rPr>
        <w:t>s</w:t>
      </w:r>
      <w:r w:rsidRPr="00B853BC">
        <w:rPr>
          <w:rFonts w:ascii="Times New Roman" w:hAnsi="Times New Roman" w:cs="Times New Roman"/>
          <w:sz w:val="23"/>
          <w:szCs w:val="23"/>
        </w:rPr>
        <w:t xml:space="preserve"> such as health services, psychosocial support to survivors, health financing, trauma counseling, treatment of victims/survivors, </w:t>
      </w:r>
      <w:r w:rsidR="00727DF5" w:rsidRPr="00B853BC">
        <w:rPr>
          <w:rFonts w:ascii="Times New Roman" w:hAnsi="Times New Roman" w:cs="Times New Roman"/>
          <w:sz w:val="23"/>
          <w:szCs w:val="23"/>
        </w:rPr>
        <w:t xml:space="preserve">and </w:t>
      </w:r>
      <w:r w:rsidRPr="00B853BC">
        <w:rPr>
          <w:rFonts w:ascii="Times New Roman" w:hAnsi="Times New Roman" w:cs="Times New Roman"/>
          <w:sz w:val="23"/>
          <w:szCs w:val="23"/>
        </w:rPr>
        <w:t xml:space="preserve">community health awareness. Effective participation in multi-sectoral referral infrastructure. Providing continuous capacity building to staff on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health</w:t>
      </w:r>
      <w:r w:rsidR="00727DF5" w:rsidRPr="00B853BC">
        <w:rPr>
          <w:rFonts w:ascii="Times New Roman" w:hAnsi="Times New Roman" w:cs="Times New Roman"/>
          <w:sz w:val="23"/>
          <w:szCs w:val="23"/>
        </w:rPr>
        <w:t>-</w:t>
      </w:r>
      <w:r w:rsidRPr="00B853BC">
        <w:rPr>
          <w:rFonts w:ascii="Times New Roman" w:hAnsi="Times New Roman" w:cs="Times New Roman"/>
          <w:sz w:val="23"/>
          <w:szCs w:val="23"/>
        </w:rPr>
        <w:t>related services and provision of relevan</w:t>
      </w:r>
      <w:r w:rsidR="00727DF5" w:rsidRPr="00B853BC">
        <w:rPr>
          <w:rFonts w:ascii="Times New Roman" w:hAnsi="Times New Roman" w:cs="Times New Roman"/>
          <w:sz w:val="23"/>
          <w:szCs w:val="23"/>
        </w:rPr>
        <w:t>t</w:t>
      </w:r>
      <w:r w:rsidRPr="00B853BC">
        <w:rPr>
          <w:rFonts w:ascii="Times New Roman" w:hAnsi="Times New Roman" w:cs="Times New Roman"/>
          <w:sz w:val="23"/>
          <w:szCs w:val="23"/>
        </w:rPr>
        <w:t xml:space="preserve"> data and research services.</w:t>
      </w:r>
    </w:p>
    <w:p w14:paraId="414BD0F4" w14:textId="639F1CA2"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Ministry responsible for Security: Overall provision of security to create an enabling environment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prevention. · Investigation and arrest of potential and actual perpetrators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 Continuous training of the Police Service to handle gender</w:t>
      </w:r>
      <w:r w:rsidR="00727DF5" w:rsidRPr="00B853BC">
        <w:rPr>
          <w:rFonts w:ascii="Times New Roman" w:hAnsi="Times New Roman" w:cs="Times New Roman"/>
          <w:sz w:val="23"/>
          <w:szCs w:val="23"/>
        </w:rPr>
        <w:t>-</w:t>
      </w:r>
      <w:r w:rsidRPr="00B853BC">
        <w:rPr>
          <w:rFonts w:ascii="Times New Roman" w:hAnsi="Times New Roman" w:cs="Times New Roman"/>
          <w:sz w:val="23"/>
          <w:szCs w:val="23"/>
        </w:rPr>
        <w:t>based offen</w:t>
      </w:r>
      <w:r w:rsidR="00727DF5" w:rsidRPr="00B853BC">
        <w:rPr>
          <w:rFonts w:ascii="Times New Roman" w:hAnsi="Times New Roman" w:cs="Times New Roman"/>
          <w:sz w:val="23"/>
          <w:szCs w:val="23"/>
        </w:rPr>
        <w:t>s</w:t>
      </w:r>
      <w:r w:rsidRPr="00B853BC">
        <w:rPr>
          <w:rFonts w:ascii="Times New Roman" w:hAnsi="Times New Roman" w:cs="Times New Roman"/>
          <w:sz w:val="23"/>
          <w:szCs w:val="23"/>
        </w:rPr>
        <w:t>es. Relevant data collection.</w:t>
      </w:r>
    </w:p>
    <w:p w14:paraId="149C05CC" w14:textId="697C73CD"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The Attorney General’s Office: Administration of justice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victims/survivors · Ensuring a standardized and coordinated government approach on matters relating to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 Streamlining the development and implementation of legislation. Particularly developing and reviewing legislation to strengthen and accommodate modern methods of evidence delivery.</w:t>
      </w:r>
    </w:p>
    <w:p w14:paraId="40971ED4" w14:textId="3817E6C9"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Directorate of Public Prosecutions: Investigation and prosecution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cases· Relevant Data collection</w:t>
      </w:r>
      <w:r w:rsidR="00016EEC" w:rsidRPr="00B853BC">
        <w:rPr>
          <w:rFonts w:ascii="Times New Roman" w:hAnsi="Times New Roman" w:cs="Times New Roman"/>
          <w:sz w:val="23"/>
          <w:szCs w:val="23"/>
        </w:rPr>
        <w:t>.</w:t>
      </w:r>
    </w:p>
    <w:p w14:paraId="00867BF1" w14:textId="503A6C79"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Ministry responsible for Education: Formal education curriculum design and review towards prevention and awareness creation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manifestation at primary, secondary and tertiary levels of education. · Ensure safety for all students from gender-based violence in learning institutions. · Enlightening and sensitizing parents, community and stakeholders on the contributory factors of gender</w:t>
      </w:r>
      <w:r w:rsidR="00727DF5" w:rsidRPr="00B853BC">
        <w:rPr>
          <w:rFonts w:ascii="Times New Roman" w:hAnsi="Times New Roman" w:cs="Times New Roman"/>
          <w:sz w:val="23"/>
          <w:szCs w:val="23"/>
        </w:rPr>
        <w:t>-</w:t>
      </w:r>
      <w:r w:rsidRPr="00B853BC">
        <w:rPr>
          <w:rFonts w:ascii="Times New Roman" w:hAnsi="Times New Roman" w:cs="Times New Roman"/>
          <w:sz w:val="23"/>
          <w:szCs w:val="23"/>
        </w:rPr>
        <w:t>based violence and the need for protection from gender</w:t>
      </w:r>
      <w:r w:rsidR="00727DF5" w:rsidRPr="00B853BC">
        <w:rPr>
          <w:rFonts w:ascii="Times New Roman" w:hAnsi="Times New Roman" w:cs="Times New Roman"/>
          <w:sz w:val="23"/>
          <w:szCs w:val="23"/>
        </w:rPr>
        <w:t>-</w:t>
      </w:r>
      <w:r w:rsidRPr="00B853BC">
        <w:rPr>
          <w:rFonts w:ascii="Times New Roman" w:hAnsi="Times New Roman" w:cs="Times New Roman"/>
          <w:sz w:val="23"/>
          <w:szCs w:val="23"/>
        </w:rPr>
        <w:t>based violence.</w:t>
      </w:r>
    </w:p>
    <w:p w14:paraId="424D869F" w14:textId="6C6035EC"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Judiciary: Develop Bail and Sentencing policies to assist in determining cases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in a manner consistent with the law and constitution and ensure </w:t>
      </w:r>
      <w:r w:rsidR="00727DF5" w:rsidRPr="00B853BC">
        <w:rPr>
          <w:rFonts w:ascii="Times New Roman" w:hAnsi="Times New Roman" w:cs="Times New Roman"/>
          <w:sz w:val="23"/>
          <w:szCs w:val="23"/>
        </w:rPr>
        <w:t xml:space="preserve">the </w:t>
      </w:r>
      <w:r w:rsidRPr="00B853BC">
        <w:rPr>
          <w:rFonts w:ascii="Times New Roman" w:hAnsi="Times New Roman" w:cs="Times New Roman"/>
          <w:sz w:val="23"/>
          <w:szCs w:val="23"/>
        </w:rPr>
        <w:t xml:space="preserve">speedy determination of cases. · Increase and improve the institutional capacity of all courts to deal with gender-based crimes. · Ensure that Magistrates and Judges are comprehensively trained </w:t>
      </w:r>
      <w:r w:rsidRPr="00B853BC">
        <w:rPr>
          <w:rFonts w:ascii="Times New Roman" w:hAnsi="Times New Roman" w:cs="Times New Roman"/>
          <w:sz w:val="23"/>
          <w:szCs w:val="23"/>
        </w:rPr>
        <w:lastRenderedPageBreak/>
        <w:t>on matters of gender-based crimes. Ensure full implementation of the Witness Protection Act in relation to gender based criminal cases. · Develop and constantly review rules relating to gender-based crimes.</w:t>
      </w:r>
    </w:p>
    <w:p w14:paraId="333252D6" w14:textId="11FCAFF1"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Ministry in charge of </w:t>
      </w:r>
      <w:proofErr w:type="spellStart"/>
      <w:r w:rsidRPr="00B853BC">
        <w:rPr>
          <w:rFonts w:ascii="Times New Roman" w:hAnsi="Times New Roman" w:cs="Times New Roman"/>
          <w:sz w:val="23"/>
          <w:szCs w:val="23"/>
        </w:rPr>
        <w:t>Labour</w:t>
      </w:r>
      <w:proofErr w:type="spellEnd"/>
      <w:r w:rsidRPr="00B853BC">
        <w:rPr>
          <w:rFonts w:ascii="Times New Roman" w:hAnsi="Times New Roman" w:cs="Times New Roman"/>
          <w:sz w:val="23"/>
          <w:szCs w:val="23"/>
        </w:rPr>
        <w:t xml:space="preserve">: Ensure that employers and employees adhere to legal provisions on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Adopt Codes of Conduct aimed at tackling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in the workplace and design appropriate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prevention and response mechanisms.</w:t>
      </w:r>
    </w:p>
    <w:p w14:paraId="2CA0AF37" w14:textId="196651EA"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Public Service Commission: developed </w:t>
      </w:r>
      <w:r w:rsidR="00727DF5" w:rsidRPr="00B853BC">
        <w:rPr>
          <w:rFonts w:ascii="Times New Roman" w:hAnsi="Times New Roman" w:cs="Times New Roman"/>
          <w:sz w:val="23"/>
          <w:szCs w:val="23"/>
        </w:rPr>
        <w:t>a</w:t>
      </w:r>
      <w:r w:rsidRPr="00B853BC">
        <w:rPr>
          <w:rFonts w:ascii="Times New Roman" w:hAnsi="Times New Roman" w:cs="Times New Roman"/>
          <w:sz w:val="23"/>
          <w:szCs w:val="23"/>
        </w:rPr>
        <w:t xml:space="preserve"> code of conduct for public service officers to follow that includes sexual harassment and disciplinary measures related to offen</w:t>
      </w:r>
      <w:r w:rsidR="00727DF5" w:rsidRPr="00B853BC">
        <w:rPr>
          <w:rFonts w:ascii="Times New Roman" w:hAnsi="Times New Roman" w:cs="Times New Roman"/>
          <w:sz w:val="23"/>
          <w:szCs w:val="23"/>
        </w:rPr>
        <w:t>s</w:t>
      </w:r>
      <w:r w:rsidRPr="00B853BC">
        <w:rPr>
          <w:rFonts w:ascii="Times New Roman" w:hAnsi="Times New Roman" w:cs="Times New Roman"/>
          <w:sz w:val="23"/>
          <w:szCs w:val="23"/>
        </w:rPr>
        <w:t>es related to sexual harassment.</w:t>
      </w:r>
    </w:p>
    <w:p w14:paraId="2B6E91CC" w14:textId="77777777" w:rsidR="00E40716" w:rsidRPr="00B853BC" w:rsidRDefault="00E40716" w:rsidP="00971226">
      <w:pPr>
        <w:numPr>
          <w:ilvl w:val="0"/>
          <w:numId w:val="12"/>
        </w:numPr>
        <w:spacing w:after="0" w:line="240" w:lineRule="auto"/>
        <w:jc w:val="both"/>
        <w:rPr>
          <w:rFonts w:ascii="Times New Roman" w:hAnsi="Times New Roman" w:cs="Times New Roman"/>
          <w:sz w:val="23"/>
          <w:szCs w:val="23"/>
        </w:rPr>
      </w:pPr>
      <w:proofErr w:type="spellStart"/>
      <w:r w:rsidRPr="00B853BC">
        <w:rPr>
          <w:rFonts w:ascii="Times New Roman" w:hAnsi="Times New Roman" w:cs="Times New Roman"/>
          <w:sz w:val="23"/>
          <w:szCs w:val="23"/>
        </w:rPr>
        <w:t>Defence</w:t>
      </w:r>
      <w:proofErr w:type="spellEnd"/>
      <w:r w:rsidRPr="00B853BC">
        <w:rPr>
          <w:rFonts w:ascii="Times New Roman" w:hAnsi="Times New Roman" w:cs="Times New Roman"/>
          <w:sz w:val="23"/>
          <w:szCs w:val="23"/>
        </w:rPr>
        <w:t>: Ensure compliance with national and international standards.</w:t>
      </w:r>
    </w:p>
    <w:p w14:paraId="4BDBF728" w14:textId="77777777"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Kenya Bureau of Statistics: Data collection management and analysis.</w:t>
      </w:r>
    </w:p>
    <w:p w14:paraId="50A58E46" w14:textId="005B7A30" w:rsidR="00E40716" w:rsidRPr="00B853BC" w:rsidRDefault="00E40716" w:rsidP="00971226">
      <w:pPr>
        <w:numPr>
          <w:ilvl w:val="0"/>
          <w:numId w:val="12"/>
        </w:numPr>
        <w:spacing w:after="0" w:line="240" w:lineRule="auto"/>
        <w:jc w:val="both"/>
        <w:rPr>
          <w:rFonts w:ascii="Times New Roman" w:hAnsi="Times New Roman" w:cs="Times New Roman"/>
          <w:sz w:val="23"/>
          <w:szCs w:val="23"/>
        </w:rPr>
      </w:pPr>
      <w:r w:rsidRPr="00B853BC">
        <w:rPr>
          <w:rFonts w:ascii="Times New Roman" w:hAnsi="Times New Roman" w:cs="Times New Roman"/>
          <w:sz w:val="23"/>
          <w:szCs w:val="23"/>
        </w:rPr>
        <w:t xml:space="preserve">County Governments: Establish facilities and infrastructure necessary for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responses at the County level</w:t>
      </w:r>
      <w:r w:rsidR="001E536B" w:rsidRPr="00B853BC">
        <w:rPr>
          <w:rFonts w:ascii="Times New Roman" w:hAnsi="Times New Roman" w:cs="Times New Roman"/>
          <w:sz w:val="23"/>
          <w:szCs w:val="23"/>
        </w:rPr>
        <w:t xml:space="preserve">. </w:t>
      </w:r>
      <w:r w:rsidRPr="00B853BC">
        <w:rPr>
          <w:rFonts w:ascii="Times New Roman" w:hAnsi="Times New Roman" w:cs="Times New Roman"/>
          <w:sz w:val="23"/>
          <w:szCs w:val="23"/>
        </w:rPr>
        <w:t xml:space="preserve">Collect and aggregate information on prevention, occurrence, responses related to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Implementation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w:t>
      </w:r>
      <w:proofErr w:type="spellStart"/>
      <w:r w:rsidRPr="00B853BC">
        <w:rPr>
          <w:rFonts w:ascii="Times New Roman" w:hAnsi="Times New Roman" w:cs="Times New Roman"/>
          <w:sz w:val="23"/>
          <w:szCs w:val="23"/>
        </w:rPr>
        <w:t>programmes</w:t>
      </w:r>
      <w:proofErr w:type="spellEnd"/>
      <w:r w:rsidRPr="00B853BC">
        <w:rPr>
          <w:rFonts w:ascii="Times New Roman" w:hAnsi="Times New Roman" w:cs="Times New Roman"/>
          <w:sz w:val="23"/>
          <w:szCs w:val="23"/>
        </w:rPr>
        <w:t xml:space="preserve"> · Monitoring and review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elimination </w:t>
      </w:r>
      <w:proofErr w:type="spellStart"/>
      <w:r w:rsidRPr="00B853BC">
        <w:rPr>
          <w:rFonts w:ascii="Times New Roman" w:hAnsi="Times New Roman" w:cs="Times New Roman"/>
          <w:sz w:val="23"/>
          <w:szCs w:val="23"/>
        </w:rPr>
        <w:t>programmes</w:t>
      </w:r>
      <w:proofErr w:type="spellEnd"/>
      <w:r w:rsidRPr="00B853BC">
        <w:rPr>
          <w:rFonts w:ascii="Times New Roman" w:hAnsi="Times New Roman" w:cs="Times New Roman"/>
          <w:sz w:val="23"/>
          <w:szCs w:val="23"/>
        </w:rPr>
        <w:t xml:space="preserve"> and delivery at the County level. Coordinate the referral infrastructure for survivors/victims across the different sectors in the County. Provide shelter houses for survivors of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Build the capacity of local administration to </w:t>
      </w:r>
      <w:proofErr w:type="gramStart"/>
      <w:r w:rsidRPr="00B853BC">
        <w:rPr>
          <w:rFonts w:ascii="Times New Roman" w:hAnsi="Times New Roman" w:cs="Times New Roman"/>
          <w:sz w:val="23"/>
          <w:szCs w:val="23"/>
        </w:rPr>
        <w:t xml:space="preserve">effectively speedily and appropriately handle cases of </w:t>
      </w:r>
      <w:r w:rsidR="00B676FA" w:rsidRPr="00B853BC">
        <w:rPr>
          <w:rFonts w:ascii="Times New Roman" w:hAnsi="Times New Roman" w:cs="Times New Roman"/>
          <w:sz w:val="23"/>
          <w:szCs w:val="23"/>
        </w:rPr>
        <w:t>GBV (SEA/SH)</w:t>
      </w:r>
      <w:proofErr w:type="gramEnd"/>
      <w:r w:rsidRPr="00B853BC">
        <w:rPr>
          <w:rFonts w:ascii="Times New Roman" w:hAnsi="Times New Roman" w:cs="Times New Roman"/>
          <w:sz w:val="23"/>
          <w:szCs w:val="23"/>
        </w:rPr>
        <w:t xml:space="preserve">. Create public awareness on </w:t>
      </w:r>
      <w:r w:rsidR="00B676FA" w:rsidRPr="00B853BC">
        <w:rPr>
          <w:rFonts w:ascii="Times New Roman" w:hAnsi="Times New Roman" w:cs="Times New Roman"/>
          <w:sz w:val="23"/>
          <w:szCs w:val="23"/>
        </w:rPr>
        <w:t>GBV (SEA/SH)</w:t>
      </w:r>
      <w:r w:rsidRPr="00B853BC">
        <w:rPr>
          <w:rFonts w:ascii="Times New Roman" w:hAnsi="Times New Roman" w:cs="Times New Roman"/>
          <w:sz w:val="23"/>
          <w:szCs w:val="23"/>
        </w:rPr>
        <w:t xml:space="preserve"> and ensure that Chiefs and Assistant Chiefs register all cases of </w:t>
      </w:r>
      <w:r w:rsidR="00B676FA" w:rsidRPr="00B853BC">
        <w:rPr>
          <w:rFonts w:ascii="Times New Roman" w:hAnsi="Times New Roman" w:cs="Times New Roman"/>
          <w:sz w:val="23"/>
          <w:szCs w:val="23"/>
        </w:rPr>
        <w:t>GBV(SEA/SH)</w:t>
      </w:r>
      <w:r w:rsidRPr="00B853BC">
        <w:rPr>
          <w:rFonts w:ascii="Times New Roman" w:hAnsi="Times New Roman" w:cs="Times New Roman"/>
          <w:sz w:val="23"/>
          <w:szCs w:val="23"/>
        </w:rPr>
        <w:t xml:space="preserve"> in their areas.</w:t>
      </w:r>
    </w:p>
    <w:p w14:paraId="7A4FFDF9" w14:textId="4A1BAD18" w:rsidR="00E40716" w:rsidRPr="00B853BC" w:rsidRDefault="00E40716" w:rsidP="00971226">
      <w:pPr>
        <w:numPr>
          <w:ilvl w:val="0"/>
          <w:numId w:val="12"/>
        </w:numPr>
        <w:spacing w:after="0" w:line="240" w:lineRule="auto"/>
        <w:jc w:val="both"/>
        <w:rPr>
          <w:rFonts w:ascii="Times New Roman" w:hAnsi="Times New Roman" w:cs="Times New Roman"/>
          <w:b/>
          <w:sz w:val="23"/>
          <w:szCs w:val="23"/>
        </w:rPr>
      </w:pPr>
      <w:r w:rsidRPr="00B853BC">
        <w:rPr>
          <w:rFonts w:ascii="Times New Roman" w:hAnsi="Times New Roman" w:cs="Times New Roman"/>
          <w:sz w:val="23"/>
          <w:szCs w:val="23"/>
        </w:rPr>
        <w:t xml:space="preserve">Ministry responsible for Justice: Expand access to justice for </w:t>
      </w:r>
      <w:r w:rsidR="00727DF5" w:rsidRPr="00B853BC">
        <w:rPr>
          <w:rFonts w:ascii="Times New Roman" w:hAnsi="Times New Roman" w:cs="Times New Roman"/>
          <w:sz w:val="23"/>
          <w:szCs w:val="23"/>
        </w:rPr>
        <w:t xml:space="preserve">the </w:t>
      </w:r>
      <w:r w:rsidRPr="00B853BC">
        <w:rPr>
          <w:rFonts w:ascii="Times New Roman" w:hAnsi="Times New Roman" w:cs="Times New Roman"/>
          <w:sz w:val="23"/>
          <w:szCs w:val="23"/>
        </w:rPr>
        <w:t>vulnerable groups and victims: · Reform and expand legal aid services to provide effective and efficient services to vulnerable groups including victims of gender based crimes.</w:t>
      </w:r>
    </w:p>
    <w:p w14:paraId="2EE9E0D3" w14:textId="77777777" w:rsidR="007F32E5" w:rsidRDefault="00602E74" w:rsidP="00971226">
      <w:pPr>
        <w:numPr>
          <w:ilvl w:val="0"/>
          <w:numId w:val="12"/>
        </w:numPr>
        <w:spacing w:after="0" w:line="240" w:lineRule="auto"/>
        <w:jc w:val="both"/>
        <w:rPr>
          <w:rFonts w:ascii="Times New Roman" w:hAnsi="Times New Roman" w:cs="Times New Roman"/>
          <w:sz w:val="23"/>
          <w:szCs w:val="23"/>
          <w:lang w:bidi="en-US"/>
        </w:rPr>
        <w:sectPr w:rsidR="007F32E5" w:rsidSect="004028DC">
          <w:pgSz w:w="11900" w:h="16840" w:code="9"/>
          <w:pgMar w:top="1440" w:right="1440" w:bottom="1440" w:left="1440" w:header="720" w:footer="720" w:gutter="0"/>
          <w:cols w:space="720"/>
          <w:docGrid w:linePitch="360"/>
        </w:sectPr>
      </w:pPr>
      <w:r w:rsidRPr="00B853BC">
        <w:rPr>
          <w:rFonts w:ascii="Times New Roman" w:hAnsi="Times New Roman" w:cs="Times New Roman"/>
          <w:sz w:val="23"/>
          <w:szCs w:val="23"/>
        </w:rPr>
        <w:t xml:space="preserve">ICT Authority: </w:t>
      </w:r>
      <w:r w:rsidR="002A5465" w:rsidRPr="00B853BC">
        <w:rPr>
          <w:rFonts w:ascii="Times New Roman" w:hAnsi="Times New Roman" w:cs="Times New Roman"/>
          <w:sz w:val="23"/>
          <w:szCs w:val="23"/>
        </w:rPr>
        <w:t>Implementation</w:t>
      </w:r>
      <w:r w:rsidRPr="00B853BC">
        <w:rPr>
          <w:rFonts w:ascii="Times New Roman" w:hAnsi="Times New Roman" w:cs="Times New Roman"/>
          <w:sz w:val="23"/>
          <w:szCs w:val="23"/>
        </w:rPr>
        <w:t xml:space="preserve"> of the </w:t>
      </w:r>
      <w:r w:rsidR="002A5465" w:rsidRPr="00B853BC">
        <w:rPr>
          <w:rFonts w:ascii="Times New Roman" w:hAnsi="Times New Roman" w:cs="Times New Roman"/>
          <w:sz w:val="23"/>
          <w:szCs w:val="23"/>
          <w:lang w:bidi="en-US"/>
        </w:rPr>
        <w:t>Sexual and Gender Based Violence Policy.</w:t>
      </w:r>
    </w:p>
    <w:p w14:paraId="01735BB0" w14:textId="22CC5F0B" w:rsidR="00602E74" w:rsidRPr="007F32E5" w:rsidRDefault="00602E74" w:rsidP="007F32E5">
      <w:pPr>
        <w:spacing w:after="0" w:line="240" w:lineRule="auto"/>
        <w:jc w:val="both"/>
        <w:rPr>
          <w:rFonts w:ascii="Times New Roman" w:hAnsi="Times New Roman" w:cs="Times New Roman"/>
          <w:b/>
          <w:sz w:val="23"/>
          <w:szCs w:val="23"/>
        </w:rPr>
      </w:pPr>
    </w:p>
    <w:p w14:paraId="540FE1AA" w14:textId="77777777" w:rsidR="007F32E5" w:rsidRDefault="007F32E5" w:rsidP="00ED10A0">
      <w:pPr>
        <w:pStyle w:val="Heading1"/>
        <w:rPr>
          <w:sz w:val="23"/>
          <w:szCs w:val="23"/>
        </w:rPr>
      </w:pPr>
      <w:bookmarkStart w:id="31" w:name="_Toc130886094"/>
      <w:bookmarkStart w:id="32" w:name="_Toc141127706"/>
      <w:r w:rsidRPr="007F32E5">
        <w:rPr>
          <w:sz w:val="23"/>
          <w:szCs w:val="23"/>
        </w:rPr>
        <w:t>Grievance Mechanism (GM)</w:t>
      </w:r>
      <w:bookmarkEnd w:id="31"/>
      <w:bookmarkEnd w:id="32"/>
    </w:p>
    <w:p w14:paraId="28035AEC" w14:textId="77777777" w:rsidR="00ED10A0" w:rsidRPr="00ED10A0" w:rsidRDefault="00ED10A0" w:rsidP="00ED10A0">
      <w:pPr>
        <w:spacing w:after="0" w:line="240" w:lineRule="auto"/>
      </w:pPr>
    </w:p>
    <w:p w14:paraId="0051238F" w14:textId="63B19050" w:rsidR="007F32E5" w:rsidRPr="007F32E5" w:rsidRDefault="007F32E5" w:rsidP="00ED10A0">
      <w:pPr>
        <w:pStyle w:val="Heading2"/>
        <w:rPr>
          <w:sz w:val="23"/>
          <w:szCs w:val="23"/>
        </w:rPr>
      </w:pPr>
      <w:bookmarkStart w:id="33" w:name="_Toc141127707"/>
      <w:r w:rsidRPr="00006B1C">
        <w:rPr>
          <w:sz w:val="23"/>
          <w:szCs w:val="23"/>
        </w:rPr>
        <w:t>SEA</w:t>
      </w:r>
      <w:r w:rsidR="00E86AF2">
        <w:rPr>
          <w:sz w:val="23"/>
          <w:szCs w:val="23"/>
        </w:rPr>
        <w:t>/S</w:t>
      </w:r>
      <w:r w:rsidRPr="00006B1C">
        <w:rPr>
          <w:sz w:val="23"/>
          <w:szCs w:val="23"/>
        </w:rPr>
        <w:t>H Grievance Management</w:t>
      </w:r>
      <w:bookmarkEnd w:id="33"/>
    </w:p>
    <w:p w14:paraId="12BCEFC0" w14:textId="77777777" w:rsidR="00ED10A0" w:rsidRDefault="00ED10A0" w:rsidP="00ED10A0">
      <w:pPr>
        <w:spacing w:after="0" w:line="240" w:lineRule="auto"/>
        <w:jc w:val="both"/>
        <w:rPr>
          <w:rFonts w:ascii="Times New Roman" w:hAnsi="Times New Roman" w:cs="Times New Roman"/>
          <w:bCs/>
          <w:sz w:val="23"/>
          <w:szCs w:val="23"/>
        </w:rPr>
      </w:pPr>
    </w:p>
    <w:p w14:paraId="43CDCE89" w14:textId="41BF42DE" w:rsidR="007F32E5" w:rsidRPr="007F32E5" w:rsidRDefault="007F32E5" w:rsidP="00ED10A0">
      <w:pPr>
        <w:spacing w:after="0" w:line="240" w:lineRule="auto"/>
        <w:jc w:val="both"/>
        <w:rPr>
          <w:rFonts w:ascii="Times New Roman" w:hAnsi="Times New Roman" w:cs="Times New Roman"/>
          <w:bCs/>
          <w:sz w:val="23"/>
          <w:szCs w:val="23"/>
        </w:rPr>
      </w:pPr>
      <w:r w:rsidRPr="007F32E5">
        <w:rPr>
          <w:rFonts w:ascii="Times New Roman" w:hAnsi="Times New Roman" w:cs="Times New Roman"/>
          <w:bCs/>
          <w:sz w:val="23"/>
          <w:szCs w:val="23"/>
        </w:rPr>
        <w:t>The project will put in place a GM with multiple channels to facilitate confidential logging in of SEA</w:t>
      </w:r>
      <w:r w:rsidR="00E86AF2">
        <w:rPr>
          <w:rFonts w:ascii="Times New Roman" w:hAnsi="Times New Roman" w:cs="Times New Roman"/>
          <w:bCs/>
          <w:sz w:val="23"/>
          <w:szCs w:val="23"/>
        </w:rPr>
        <w:t>/S</w:t>
      </w:r>
      <w:r w:rsidRPr="007F32E5">
        <w:rPr>
          <w:rFonts w:ascii="Times New Roman" w:hAnsi="Times New Roman" w:cs="Times New Roman"/>
          <w:bCs/>
          <w:sz w:val="23"/>
          <w:szCs w:val="23"/>
        </w:rPr>
        <w:t>H complaints in all the project locations</w:t>
      </w:r>
      <w:r w:rsidR="005D30E0">
        <w:rPr>
          <w:rFonts w:ascii="Times New Roman" w:hAnsi="Times New Roman" w:cs="Times New Roman"/>
          <w:bCs/>
          <w:sz w:val="23"/>
          <w:szCs w:val="23"/>
        </w:rPr>
        <w:t xml:space="preserve"> these will also </w:t>
      </w:r>
      <w:r w:rsidR="001E60E5">
        <w:rPr>
          <w:rFonts w:ascii="Times New Roman" w:hAnsi="Times New Roman" w:cs="Times New Roman"/>
          <w:bCs/>
          <w:sz w:val="23"/>
          <w:szCs w:val="23"/>
        </w:rPr>
        <w:t>integrate</w:t>
      </w:r>
      <w:r w:rsidR="005D30E0">
        <w:rPr>
          <w:rFonts w:ascii="Times New Roman" w:hAnsi="Times New Roman" w:cs="Times New Roman"/>
          <w:bCs/>
          <w:sz w:val="23"/>
          <w:szCs w:val="23"/>
        </w:rPr>
        <w:t xml:space="preserve"> the existing government grievance </w:t>
      </w:r>
      <w:r w:rsidR="001E60E5">
        <w:rPr>
          <w:rFonts w:ascii="Times New Roman" w:hAnsi="Times New Roman" w:cs="Times New Roman"/>
          <w:bCs/>
          <w:sz w:val="23"/>
          <w:szCs w:val="23"/>
        </w:rPr>
        <w:t>reporting mechanism</w:t>
      </w:r>
      <w:r w:rsidRPr="007F32E5">
        <w:rPr>
          <w:rFonts w:ascii="Times New Roman" w:hAnsi="Times New Roman" w:cs="Times New Roman"/>
          <w:bCs/>
          <w:sz w:val="23"/>
          <w:szCs w:val="23"/>
        </w:rPr>
        <w:t>. It will be necessary to identify and integrate SEA</w:t>
      </w:r>
      <w:r w:rsidR="00E86AF2">
        <w:rPr>
          <w:rFonts w:ascii="Times New Roman" w:hAnsi="Times New Roman" w:cs="Times New Roman"/>
          <w:bCs/>
          <w:sz w:val="23"/>
          <w:szCs w:val="23"/>
        </w:rPr>
        <w:t>/S</w:t>
      </w:r>
      <w:r w:rsidRPr="007F32E5">
        <w:rPr>
          <w:rFonts w:ascii="Times New Roman" w:hAnsi="Times New Roman" w:cs="Times New Roman"/>
          <w:bCs/>
          <w:sz w:val="23"/>
          <w:szCs w:val="23"/>
        </w:rPr>
        <w:t>H entry points within the GM with clear procedures and tools for safe, confidential, and ethical management of related complaints. Considerations related to SEA</w:t>
      </w:r>
      <w:r w:rsidR="00E86AF2">
        <w:rPr>
          <w:rFonts w:ascii="Times New Roman" w:hAnsi="Times New Roman" w:cs="Times New Roman"/>
          <w:bCs/>
          <w:sz w:val="23"/>
          <w:szCs w:val="23"/>
        </w:rPr>
        <w:t>/S</w:t>
      </w:r>
      <w:r w:rsidRPr="007F32E5">
        <w:rPr>
          <w:rFonts w:ascii="Times New Roman" w:hAnsi="Times New Roman" w:cs="Times New Roman"/>
          <w:bCs/>
          <w:sz w:val="23"/>
          <w:szCs w:val="23"/>
        </w:rPr>
        <w:t xml:space="preserve">H will be integrated into GM explicitly developed for project workers. </w:t>
      </w:r>
    </w:p>
    <w:p w14:paraId="49793057" w14:textId="77777777" w:rsidR="007F32E5" w:rsidRPr="007F32E5" w:rsidRDefault="007F32E5" w:rsidP="007F32E5">
      <w:pPr>
        <w:tabs>
          <w:tab w:val="left" w:pos="2850"/>
        </w:tabs>
        <w:spacing w:after="0" w:line="240" w:lineRule="auto"/>
        <w:jc w:val="both"/>
        <w:rPr>
          <w:rFonts w:ascii="Times New Roman" w:hAnsi="Times New Roman" w:cs="Times New Roman"/>
          <w:sz w:val="23"/>
          <w:szCs w:val="23"/>
        </w:rPr>
      </w:pPr>
    </w:p>
    <w:p w14:paraId="49406846" w14:textId="77777777" w:rsidR="007F32E5" w:rsidRPr="007F32E5" w:rsidRDefault="007F32E5" w:rsidP="00A6643E">
      <w:pPr>
        <w:spacing w:after="0" w:line="240" w:lineRule="auto"/>
        <w:jc w:val="both"/>
        <w:rPr>
          <w:rFonts w:ascii="Times New Roman" w:hAnsi="Times New Roman" w:cs="Times New Roman"/>
          <w:bCs/>
          <w:sz w:val="23"/>
          <w:szCs w:val="23"/>
        </w:rPr>
      </w:pPr>
      <w:r w:rsidRPr="007F32E5">
        <w:rPr>
          <w:rFonts w:ascii="Times New Roman" w:hAnsi="Times New Roman" w:cs="Times New Roman"/>
          <w:bCs/>
          <w:sz w:val="23"/>
          <w:szCs w:val="23"/>
        </w:rPr>
        <w:t>As part of the overall project, consultations on the GM with affected communities (particularly with women, girls and people living with disabilities) will be done to determine the preferred alternatives to in-person complaints (e.g., phone, online, other). The process will emphasize confidentiality and anonymity. This project GM will adapt lessons from other projects to strengthen accountability to communities and identify a range of issues by holding periodic team meetings to discuss any workplace concerns.</w:t>
      </w:r>
    </w:p>
    <w:p w14:paraId="46ED2A22" w14:textId="77777777" w:rsidR="007F32E5" w:rsidRPr="007F32E5" w:rsidRDefault="007F32E5" w:rsidP="007F32E5">
      <w:pPr>
        <w:tabs>
          <w:tab w:val="left" w:pos="2850"/>
        </w:tabs>
        <w:spacing w:after="0" w:line="240" w:lineRule="auto"/>
        <w:jc w:val="both"/>
        <w:rPr>
          <w:rFonts w:ascii="Times New Roman" w:hAnsi="Times New Roman" w:cs="Times New Roman"/>
          <w:sz w:val="23"/>
          <w:szCs w:val="23"/>
        </w:rPr>
      </w:pPr>
    </w:p>
    <w:p w14:paraId="137638FD" w14:textId="70E75F5C" w:rsidR="007F32E5" w:rsidRDefault="007F32E5" w:rsidP="00832BF8">
      <w:pPr>
        <w:spacing w:after="0" w:line="240" w:lineRule="auto"/>
        <w:jc w:val="both"/>
        <w:rPr>
          <w:rFonts w:ascii="Times New Roman" w:hAnsi="Times New Roman" w:cs="Times New Roman"/>
          <w:bCs/>
          <w:sz w:val="23"/>
          <w:szCs w:val="23"/>
        </w:rPr>
      </w:pPr>
      <w:r w:rsidRPr="007F32E5">
        <w:rPr>
          <w:rFonts w:ascii="Times New Roman" w:hAnsi="Times New Roman" w:cs="Times New Roman"/>
          <w:bCs/>
          <w:sz w:val="23"/>
          <w:szCs w:val="23"/>
        </w:rPr>
        <w:t>In setting a up a GM to facilitate resolution of SEA</w:t>
      </w:r>
      <w:r w:rsidR="00E86AF2">
        <w:rPr>
          <w:rFonts w:ascii="Times New Roman" w:hAnsi="Times New Roman" w:cs="Times New Roman"/>
          <w:bCs/>
          <w:sz w:val="23"/>
          <w:szCs w:val="23"/>
        </w:rPr>
        <w:t>/S</w:t>
      </w:r>
      <w:r w:rsidRPr="007F32E5">
        <w:rPr>
          <w:rFonts w:ascii="Times New Roman" w:hAnsi="Times New Roman" w:cs="Times New Roman"/>
          <w:bCs/>
          <w:sz w:val="23"/>
          <w:szCs w:val="23"/>
        </w:rPr>
        <w:t xml:space="preserve">H complaints, the project will be guided the by the following principles: </w:t>
      </w:r>
    </w:p>
    <w:p w14:paraId="177C438C" w14:textId="77777777" w:rsidR="00F84AC0" w:rsidRPr="007F32E5" w:rsidRDefault="00F84AC0" w:rsidP="00832BF8">
      <w:pPr>
        <w:spacing w:after="0" w:line="240" w:lineRule="auto"/>
        <w:jc w:val="both"/>
        <w:rPr>
          <w:rFonts w:ascii="Times New Roman" w:hAnsi="Times New Roman" w:cs="Times New Roman"/>
          <w:bCs/>
          <w:sz w:val="23"/>
          <w:szCs w:val="23"/>
        </w:rPr>
      </w:pPr>
    </w:p>
    <w:p w14:paraId="39750532" w14:textId="77777777" w:rsidR="007F32E5" w:rsidRPr="007F32E5" w:rsidRDefault="007F32E5" w:rsidP="009924D9">
      <w:pPr>
        <w:pStyle w:val="ListParagraph"/>
        <w:numPr>
          <w:ilvl w:val="0"/>
          <w:numId w:val="30"/>
        </w:numPr>
        <w:spacing w:after="0" w:line="240" w:lineRule="auto"/>
        <w:jc w:val="both"/>
        <w:rPr>
          <w:rFonts w:ascii="Times New Roman" w:hAnsi="Times New Roman" w:cs="Times New Roman"/>
          <w:sz w:val="23"/>
          <w:szCs w:val="23"/>
        </w:rPr>
      </w:pPr>
      <w:r w:rsidRPr="007F32E5">
        <w:rPr>
          <w:rFonts w:ascii="Times New Roman" w:hAnsi="Times New Roman" w:cs="Times New Roman"/>
          <w:i/>
          <w:iCs/>
          <w:sz w:val="23"/>
          <w:szCs w:val="23"/>
        </w:rPr>
        <w:t xml:space="preserve">Confidentiality: </w:t>
      </w:r>
      <w:r w:rsidRPr="007F32E5">
        <w:rPr>
          <w:rFonts w:ascii="Times New Roman" w:hAnsi="Times New Roman" w:cs="Times New Roman"/>
          <w:sz w:val="23"/>
          <w:szCs w:val="23"/>
        </w:rPr>
        <w:t>At all stages of the intervention, the privacy and confidentiality of survivors will be assured, prioritizing the well-being of survivors and that the delivery of services and support will not compromise the privacy or identity of individuals involved.</w:t>
      </w:r>
    </w:p>
    <w:p w14:paraId="59552D59" w14:textId="20E6CE16" w:rsidR="007F32E5" w:rsidRPr="007F32E5" w:rsidRDefault="007F32E5" w:rsidP="009924D9">
      <w:pPr>
        <w:pStyle w:val="ListParagraph"/>
        <w:numPr>
          <w:ilvl w:val="0"/>
          <w:numId w:val="30"/>
        </w:numPr>
        <w:spacing w:after="0" w:line="240" w:lineRule="auto"/>
        <w:jc w:val="both"/>
        <w:rPr>
          <w:rFonts w:ascii="Times New Roman" w:hAnsi="Times New Roman" w:cs="Times New Roman"/>
          <w:sz w:val="23"/>
          <w:szCs w:val="23"/>
        </w:rPr>
      </w:pPr>
      <w:r w:rsidRPr="007F32E5">
        <w:rPr>
          <w:rFonts w:ascii="Times New Roman" w:hAnsi="Times New Roman" w:cs="Times New Roman"/>
          <w:i/>
          <w:iCs/>
          <w:sz w:val="23"/>
          <w:szCs w:val="23"/>
        </w:rPr>
        <w:t>Respect:</w:t>
      </w:r>
      <w:r w:rsidRPr="007F32E5">
        <w:rPr>
          <w:rFonts w:ascii="Times New Roman" w:hAnsi="Times New Roman" w:cs="Times New Roman"/>
          <w:sz w:val="23"/>
          <w:szCs w:val="23"/>
        </w:rPr>
        <w:t xml:space="preserve"> Respect of the wishes, dignity and choices of the survivors will be </w:t>
      </w:r>
      <w:r w:rsidR="007349C8" w:rsidRPr="007F32E5">
        <w:rPr>
          <w:rFonts w:ascii="Times New Roman" w:hAnsi="Times New Roman" w:cs="Times New Roman"/>
          <w:sz w:val="23"/>
          <w:szCs w:val="23"/>
        </w:rPr>
        <w:t>always observed</w:t>
      </w:r>
      <w:r w:rsidRPr="007F32E5">
        <w:rPr>
          <w:rFonts w:ascii="Times New Roman" w:hAnsi="Times New Roman" w:cs="Times New Roman"/>
          <w:sz w:val="23"/>
          <w:szCs w:val="23"/>
        </w:rPr>
        <w:t xml:space="preserve"> and during all stages of any intervention. Survivors will be supported to give their free and informed consent, based on a clear understanding of the facts, implications, risks, and consequences of an action, before information is shared or action is taken.</w:t>
      </w:r>
    </w:p>
    <w:p w14:paraId="33B99589" w14:textId="40F91C1F" w:rsidR="007F32E5" w:rsidRPr="007F32E5" w:rsidRDefault="007F32E5" w:rsidP="009924D9">
      <w:pPr>
        <w:pStyle w:val="ListParagraph"/>
        <w:numPr>
          <w:ilvl w:val="0"/>
          <w:numId w:val="30"/>
        </w:numPr>
        <w:spacing w:after="0" w:line="240" w:lineRule="auto"/>
        <w:jc w:val="both"/>
        <w:rPr>
          <w:rFonts w:ascii="Times New Roman" w:hAnsi="Times New Roman" w:cs="Times New Roman"/>
          <w:sz w:val="23"/>
          <w:szCs w:val="23"/>
        </w:rPr>
      </w:pPr>
      <w:r w:rsidRPr="007F32E5">
        <w:rPr>
          <w:rFonts w:ascii="Times New Roman" w:hAnsi="Times New Roman" w:cs="Times New Roman"/>
          <w:i/>
          <w:iCs/>
          <w:sz w:val="23"/>
          <w:szCs w:val="23"/>
        </w:rPr>
        <w:t>Safety and security:</w:t>
      </w:r>
      <w:r w:rsidRPr="007F32E5">
        <w:rPr>
          <w:rFonts w:ascii="Times New Roman" w:hAnsi="Times New Roman" w:cs="Times New Roman"/>
          <w:sz w:val="23"/>
          <w:szCs w:val="23"/>
        </w:rPr>
        <w:t xml:space="preserve"> Awareness and consideration of any risks or safety concerns that might compromise the physical safety of individuals affected by SEA</w:t>
      </w:r>
      <w:r w:rsidR="00E86AF2">
        <w:rPr>
          <w:rFonts w:ascii="Times New Roman" w:hAnsi="Times New Roman" w:cs="Times New Roman"/>
          <w:sz w:val="23"/>
          <w:szCs w:val="23"/>
        </w:rPr>
        <w:t>/S</w:t>
      </w:r>
      <w:r w:rsidRPr="007F32E5">
        <w:rPr>
          <w:rFonts w:ascii="Times New Roman" w:hAnsi="Times New Roman" w:cs="Times New Roman"/>
          <w:sz w:val="23"/>
          <w:szCs w:val="23"/>
        </w:rPr>
        <w:t>H will be sufficiently addressed and factored into any SEAH intervention or initiative.</w:t>
      </w:r>
    </w:p>
    <w:p w14:paraId="71AA7951" w14:textId="77777777" w:rsidR="007F32E5" w:rsidRPr="007F32E5" w:rsidRDefault="007F32E5" w:rsidP="009924D9">
      <w:pPr>
        <w:pStyle w:val="ListParagraph"/>
        <w:numPr>
          <w:ilvl w:val="0"/>
          <w:numId w:val="30"/>
        </w:numPr>
        <w:spacing w:after="0" w:line="240" w:lineRule="auto"/>
        <w:jc w:val="both"/>
        <w:rPr>
          <w:rFonts w:ascii="Times New Roman" w:hAnsi="Times New Roman" w:cs="Times New Roman"/>
          <w:sz w:val="23"/>
          <w:szCs w:val="23"/>
        </w:rPr>
      </w:pPr>
      <w:r w:rsidRPr="007F32E5">
        <w:rPr>
          <w:rFonts w:ascii="Times New Roman" w:hAnsi="Times New Roman" w:cs="Times New Roman"/>
          <w:i/>
          <w:iCs/>
          <w:sz w:val="23"/>
          <w:szCs w:val="23"/>
        </w:rPr>
        <w:t>Non-discrimination:</w:t>
      </w:r>
      <w:r w:rsidRPr="007F32E5">
        <w:rPr>
          <w:rFonts w:ascii="Times New Roman" w:hAnsi="Times New Roman" w:cs="Times New Roman"/>
          <w:sz w:val="23"/>
          <w:szCs w:val="23"/>
        </w:rPr>
        <w:t xml:space="preserve"> All SEA interventions will be designed to ensure access and the same level of quality of care and assistance for all persons seeking support, or persons affected by SEA, without regard to sex, sexual orientation, gender identity, age, ethnicity, religion, or other status.</w:t>
      </w:r>
    </w:p>
    <w:p w14:paraId="33FCFC62" w14:textId="77777777" w:rsidR="007F32E5" w:rsidRPr="001409BF" w:rsidRDefault="007F32E5" w:rsidP="001409BF">
      <w:pPr>
        <w:spacing w:after="0" w:line="240" w:lineRule="auto"/>
        <w:jc w:val="both"/>
        <w:rPr>
          <w:rFonts w:ascii="Times New Roman" w:hAnsi="Times New Roman" w:cs="Times New Roman"/>
          <w:sz w:val="23"/>
          <w:szCs w:val="23"/>
        </w:rPr>
      </w:pPr>
    </w:p>
    <w:p w14:paraId="0B6AFB12" w14:textId="64C39C3C" w:rsidR="007F32E5" w:rsidRPr="00F84AC0" w:rsidRDefault="00001931" w:rsidP="00F84AC0">
      <w:pPr>
        <w:spacing w:after="0" w:line="240" w:lineRule="auto"/>
        <w:jc w:val="both"/>
        <w:rPr>
          <w:rFonts w:ascii="Times New Roman" w:hAnsi="Times New Roman" w:cs="Times New Roman"/>
          <w:sz w:val="23"/>
          <w:szCs w:val="23"/>
        </w:rPr>
      </w:pPr>
      <w:r>
        <w:rPr>
          <w:rFonts w:ascii="Times New Roman" w:hAnsi="Times New Roman" w:cs="Times New Roman"/>
          <w:bCs/>
          <w:sz w:val="23"/>
          <w:szCs w:val="23"/>
        </w:rPr>
        <w:t>As guided by the SEA/SH good practice note, t</w:t>
      </w:r>
      <w:r w:rsidR="007F32E5" w:rsidRPr="00F84AC0">
        <w:rPr>
          <w:rFonts w:ascii="Times New Roman" w:hAnsi="Times New Roman" w:cs="Times New Roman"/>
          <w:bCs/>
          <w:sz w:val="23"/>
          <w:szCs w:val="23"/>
        </w:rPr>
        <w:t xml:space="preserve">he project </w:t>
      </w:r>
      <w:r>
        <w:rPr>
          <w:rFonts w:ascii="Times New Roman" w:hAnsi="Times New Roman" w:cs="Times New Roman"/>
          <w:bCs/>
          <w:sz w:val="23"/>
          <w:szCs w:val="23"/>
        </w:rPr>
        <w:t>will adopt</w:t>
      </w:r>
      <w:r w:rsidR="007F32E5" w:rsidRPr="00F84AC0">
        <w:rPr>
          <w:rFonts w:ascii="Times New Roman" w:hAnsi="Times New Roman" w:cs="Times New Roman"/>
          <w:bCs/>
          <w:sz w:val="23"/>
          <w:szCs w:val="23"/>
        </w:rPr>
        <w:t xml:space="preserve"> a survivor-centered approach to managing SEA</w:t>
      </w:r>
      <w:r w:rsidR="00E86AF2">
        <w:rPr>
          <w:rFonts w:ascii="Times New Roman" w:hAnsi="Times New Roman" w:cs="Times New Roman"/>
          <w:bCs/>
          <w:sz w:val="23"/>
          <w:szCs w:val="23"/>
        </w:rPr>
        <w:t>/S</w:t>
      </w:r>
      <w:r w:rsidR="007F32E5" w:rsidRPr="00F84AC0">
        <w:rPr>
          <w:rFonts w:ascii="Times New Roman" w:hAnsi="Times New Roman" w:cs="Times New Roman"/>
          <w:bCs/>
          <w:sz w:val="23"/>
          <w:szCs w:val="23"/>
        </w:rPr>
        <w:t>H complaints including the use of SEAH victims’ referral centers. The focus of GM would be c</w:t>
      </w:r>
      <w:r w:rsidR="007F32E5" w:rsidRPr="00F84AC0">
        <w:rPr>
          <w:rFonts w:ascii="Times New Roman" w:hAnsi="Times New Roman" w:cs="Times New Roman"/>
          <w:sz w:val="23"/>
          <w:szCs w:val="23"/>
        </w:rPr>
        <w:t>onfidentiality to protect the privacy and choices of the victim, and urgency to preserve evidence and access assistance and care for the victim. For these reasons the complaint is not expected to follow a uniform pattern. The complainant will be free to use any avenue to report including text message, email, phone call, written note, or word of mouth in person to trusted colleague, member of the GM, SEA</w:t>
      </w:r>
      <w:r w:rsidR="00E86AF2">
        <w:rPr>
          <w:rFonts w:ascii="Times New Roman" w:hAnsi="Times New Roman" w:cs="Times New Roman"/>
          <w:sz w:val="23"/>
          <w:szCs w:val="23"/>
        </w:rPr>
        <w:t>/S</w:t>
      </w:r>
      <w:r w:rsidR="007F32E5" w:rsidRPr="00F84AC0">
        <w:rPr>
          <w:rFonts w:ascii="Times New Roman" w:hAnsi="Times New Roman" w:cs="Times New Roman"/>
          <w:sz w:val="23"/>
          <w:szCs w:val="23"/>
        </w:rPr>
        <w:t xml:space="preserve">H service provider, or local </w:t>
      </w:r>
      <w:r w:rsidR="00825066">
        <w:rPr>
          <w:rFonts w:ascii="Times New Roman" w:hAnsi="Times New Roman" w:cs="Times New Roman"/>
          <w:sz w:val="23"/>
          <w:szCs w:val="23"/>
        </w:rPr>
        <w:t>non-governmental</w:t>
      </w:r>
      <w:r w:rsidR="00F73D07">
        <w:rPr>
          <w:rFonts w:ascii="Times New Roman" w:hAnsi="Times New Roman" w:cs="Times New Roman"/>
          <w:sz w:val="23"/>
          <w:szCs w:val="23"/>
        </w:rPr>
        <w:t xml:space="preserve"> organisations, civil society organ</w:t>
      </w:r>
      <w:r w:rsidR="00825066">
        <w:rPr>
          <w:rFonts w:ascii="Times New Roman" w:hAnsi="Times New Roman" w:cs="Times New Roman"/>
          <w:sz w:val="23"/>
          <w:szCs w:val="23"/>
        </w:rPr>
        <w:t>i</w:t>
      </w:r>
      <w:r w:rsidR="00F73D07">
        <w:rPr>
          <w:rFonts w:ascii="Times New Roman" w:hAnsi="Times New Roman" w:cs="Times New Roman"/>
          <w:sz w:val="23"/>
          <w:szCs w:val="23"/>
        </w:rPr>
        <w:t>sations</w:t>
      </w:r>
      <w:r w:rsidR="007F32E5" w:rsidRPr="00F84AC0">
        <w:rPr>
          <w:rFonts w:ascii="Times New Roman" w:hAnsi="Times New Roman" w:cs="Times New Roman"/>
          <w:sz w:val="23"/>
          <w:szCs w:val="23"/>
        </w:rPr>
        <w:t>, among others. If the complaint is received by any other person or entity other than the designated SEA</w:t>
      </w:r>
      <w:r w:rsidR="00E86AF2">
        <w:rPr>
          <w:rFonts w:ascii="Times New Roman" w:hAnsi="Times New Roman" w:cs="Times New Roman"/>
          <w:sz w:val="23"/>
          <w:szCs w:val="23"/>
        </w:rPr>
        <w:t>/S</w:t>
      </w:r>
      <w:r w:rsidR="007F32E5" w:rsidRPr="00F84AC0">
        <w:rPr>
          <w:rFonts w:ascii="Times New Roman" w:hAnsi="Times New Roman" w:cs="Times New Roman"/>
          <w:sz w:val="23"/>
          <w:szCs w:val="23"/>
        </w:rPr>
        <w:t>H services provider, the case should be referred as soon as possible thereafter to the service provider.</w:t>
      </w:r>
    </w:p>
    <w:p w14:paraId="222E8F3F" w14:textId="77777777" w:rsidR="007F32E5" w:rsidRPr="007F32E5" w:rsidRDefault="007F32E5" w:rsidP="007F32E5">
      <w:pPr>
        <w:spacing w:after="0" w:line="240" w:lineRule="auto"/>
        <w:jc w:val="both"/>
        <w:rPr>
          <w:rFonts w:ascii="Times New Roman" w:hAnsi="Times New Roman" w:cs="Times New Roman"/>
          <w:sz w:val="23"/>
          <w:szCs w:val="23"/>
        </w:rPr>
      </w:pPr>
    </w:p>
    <w:p w14:paraId="6F3A3615" w14:textId="7600A1E4" w:rsidR="007F32E5" w:rsidRPr="0002626C" w:rsidRDefault="007F32E5" w:rsidP="0002626C">
      <w:pPr>
        <w:spacing w:after="0" w:line="240" w:lineRule="auto"/>
        <w:jc w:val="both"/>
        <w:rPr>
          <w:rFonts w:ascii="Times New Roman" w:hAnsi="Times New Roman" w:cs="Times New Roman"/>
          <w:sz w:val="23"/>
          <w:szCs w:val="23"/>
        </w:rPr>
      </w:pPr>
      <w:r w:rsidRPr="0002626C">
        <w:rPr>
          <w:rFonts w:ascii="Times New Roman" w:hAnsi="Times New Roman" w:cs="Times New Roman"/>
          <w:sz w:val="23"/>
          <w:szCs w:val="23"/>
        </w:rPr>
        <w:t xml:space="preserve">The process of assistance will follow the steps below. The person that receives the complaint/report will inform </w:t>
      </w:r>
      <w:r w:rsidR="00FD721C">
        <w:rPr>
          <w:rFonts w:ascii="Times New Roman" w:hAnsi="Times New Roman" w:cs="Times New Roman"/>
          <w:sz w:val="23"/>
          <w:szCs w:val="23"/>
        </w:rPr>
        <w:t>KDEAP</w:t>
      </w:r>
      <w:r w:rsidR="00FD721C" w:rsidRPr="0002626C">
        <w:rPr>
          <w:rFonts w:ascii="Times New Roman" w:hAnsi="Times New Roman" w:cs="Times New Roman"/>
          <w:sz w:val="23"/>
          <w:szCs w:val="23"/>
        </w:rPr>
        <w:t xml:space="preserve"> immediately</w:t>
      </w:r>
      <w:r w:rsidRPr="0002626C">
        <w:rPr>
          <w:rFonts w:ascii="Times New Roman" w:hAnsi="Times New Roman" w:cs="Times New Roman"/>
          <w:sz w:val="23"/>
          <w:szCs w:val="23"/>
        </w:rPr>
        <w:t>. The PC arranges for any required emergency support and care in coordination with the designated SEA</w:t>
      </w:r>
      <w:r w:rsidR="00E86AF2">
        <w:rPr>
          <w:rFonts w:ascii="Times New Roman" w:hAnsi="Times New Roman" w:cs="Times New Roman"/>
          <w:sz w:val="23"/>
          <w:szCs w:val="23"/>
        </w:rPr>
        <w:t>/S</w:t>
      </w:r>
      <w:r w:rsidRPr="0002626C">
        <w:rPr>
          <w:rFonts w:ascii="Times New Roman" w:hAnsi="Times New Roman" w:cs="Times New Roman"/>
          <w:sz w:val="23"/>
          <w:szCs w:val="23"/>
        </w:rPr>
        <w:t xml:space="preserve">H service provider and simultaneously refers the case to </w:t>
      </w:r>
      <w:r w:rsidRPr="0002626C">
        <w:rPr>
          <w:rFonts w:ascii="Times New Roman" w:hAnsi="Times New Roman" w:cs="Times New Roman"/>
          <w:sz w:val="23"/>
          <w:szCs w:val="23"/>
        </w:rPr>
        <w:lastRenderedPageBreak/>
        <w:t>the service provider. In the meantime, the service provider contacts (in all cases) the P</w:t>
      </w:r>
      <w:r w:rsidR="00E86AF2">
        <w:rPr>
          <w:rFonts w:ascii="Times New Roman" w:hAnsi="Times New Roman" w:cs="Times New Roman"/>
          <w:sz w:val="23"/>
          <w:szCs w:val="23"/>
        </w:rPr>
        <w:t>IU</w:t>
      </w:r>
      <w:r w:rsidRPr="0002626C">
        <w:rPr>
          <w:rFonts w:ascii="Times New Roman" w:hAnsi="Times New Roman" w:cs="Times New Roman"/>
          <w:sz w:val="23"/>
          <w:szCs w:val="23"/>
        </w:rPr>
        <w:t xml:space="preserve"> to report any SEA</w:t>
      </w:r>
      <w:r w:rsidR="00E86AF2">
        <w:rPr>
          <w:rFonts w:ascii="Times New Roman" w:hAnsi="Times New Roman" w:cs="Times New Roman"/>
          <w:sz w:val="23"/>
          <w:szCs w:val="23"/>
        </w:rPr>
        <w:t>/S</w:t>
      </w:r>
      <w:r w:rsidRPr="0002626C">
        <w:rPr>
          <w:rFonts w:ascii="Times New Roman" w:hAnsi="Times New Roman" w:cs="Times New Roman"/>
          <w:sz w:val="23"/>
          <w:szCs w:val="23"/>
        </w:rPr>
        <w:t xml:space="preserve">H incident to the Bank within 48 hours. </w:t>
      </w:r>
    </w:p>
    <w:p w14:paraId="2739A76F" w14:textId="77777777" w:rsidR="007F32E5" w:rsidRPr="007F32E5" w:rsidRDefault="007F32E5" w:rsidP="007F32E5">
      <w:pPr>
        <w:spacing w:after="0" w:line="240" w:lineRule="auto"/>
        <w:ind w:left="567"/>
        <w:jc w:val="both"/>
        <w:rPr>
          <w:rFonts w:ascii="Times New Roman" w:hAnsi="Times New Roman" w:cs="Times New Roman"/>
          <w:bCs/>
          <w:sz w:val="23"/>
          <w:szCs w:val="23"/>
        </w:rPr>
      </w:pPr>
    </w:p>
    <w:p w14:paraId="69D92510" w14:textId="77777777" w:rsidR="007F32E5" w:rsidRPr="007F32E5" w:rsidRDefault="007F32E5" w:rsidP="0002626C">
      <w:pPr>
        <w:spacing w:after="0" w:line="240" w:lineRule="auto"/>
        <w:jc w:val="both"/>
        <w:rPr>
          <w:rFonts w:ascii="Times New Roman" w:hAnsi="Times New Roman" w:cs="Times New Roman"/>
          <w:bCs/>
          <w:sz w:val="23"/>
          <w:szCs w:val="23"/>
        </w:rPr>
      </w:pPr>
      <w:r w:rsidRPr="007F32E5">
        <w:rPr>
          <w:rFonts w:ascii="Times New Roman" w:hAnsi="Times New Roman" w:cs="Times New Roman"/>
          <w:bCs/>
          <w:sz w:val="23"/>
          <w:szCs w:val="23"/>
        </w:rPr>
        <w:t>The only information to be collected from the person reporting will be:</w:t>
      </w:r>
    </w:p>
    <w:p w14:paraId="4A6FCB8D" w14:textId="77777777" w:rsidR="007F32E5" w:rsidRPr="007F32E5" w:rsidRDefault="007F32E5" w:rsidP="009924D9">
      <w:pPr>
        <w:pStyle w:val="ListParagraph"/>
        <w:numPr>
          <w:ilvl w:val="0"/>
          <w:numId w:val="31"/>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demographic data, such as age and gender;</w:t>
      </w:r>
    </w:p>
    <w:p w14:paraId="3DE0B9EA" w14:textId="77777777" w:rsidR="007F32E5" w:rsidRPr="007F32E5" w:rsidRDefault="007F32E5" w:rsidP="009924D9">
      <w:pPr>
        <w:pStyle w:val="ListParagraph"/>
        <w:numPr>
          <w:ilvl w:val="0"/>
          <w:numId w:val="31"/>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the nature of the complaint (what the complainant says in her/his own words);</w:t>
      </w:r>
    </w:p>
    <w:p w14:paraId="714909BE" w14:textId="77777777" w:rsidR="007F32E5" w:rsidRPr="007F32E5" w:rsidRDefault="007F32E5" w:rsidP="009924D9">
      <w:pPr>
        <w:pStyle w:val="ListParagraph"/>
        <w:numPr>
          <w:ilvl w:val="0"/>
          <w:numId w:val="31"/>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whether the complainant believes the perpetrator was related to the project; and</w:t>
      </w:r>
    </w:p>
    <w:p w14:paraId="1A079FA8" w14:textId="77777777" w:rsidR="007F32E5" w:rsidRDefault="007F32E5" w:rsidP="009924D9">
      <w:pPr>
        <w:pStyle w:val="ListParagraph"/>
        <w:numPr>
          <w:ilvl w:val="0"/>
          <w:numId w:val="31"/>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whether they received or were offered referral to services.</w:t>
      </w:r>
    </w:p>
    <w:p w14:paraId="2206DB30" w14:textId="77777777" w:rsidR="0002626C" w:rsidRPr="0002626C" w:rsidRDefault="0002626C" w:rsidP="0002626C">
      <w:pPr>
        <w:spacing w:after="0" w:line="240" w:lineRule="auto"/>
        <w:jc w:val="both"/>
        <w:rPr>
          <w:rFonts w:ascii="Times New Roman" w:hAnsi="Times New Roman" w:cs="Times New Roman"/>
          <w:sz w:val="23"/>
          <w:szCs w:val="23"/>
        </w:rPr>
      </w:pPr>
    </w:p>
    <w:p w14:paraId="3184BD95" w14:textId="77777777" w:rsidR="007F32E5" w:rsidRDefault="007F32E5" w:rsidP="0002626C">
      <w:p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The project will put in place the necessary mechanisms to address SEAH. The proposed mitigation measures as per the risk level in the current project are as follows:</w:t>
      </w:r>
    </w:p>
    <w:p w14:paraId="4622037C" w14:textId="77777777" w:rsidR="00FD721C" w:rsidRPr="007F32E5" w:rsidRDefault="00FD721C" w:rsidP="0002626C">
      <w:pPr>
        <w:spacing w:after="0" w:line="240" w:lineRule="auto"/>
        <w:jc w:val="both"/>
        <w:rPr>
          <w:rFonts w:ascii="Times New Roman" w:hAnsi="Times New Roman" w:cs="Times New Roman"/>
          <w:sz w:val="23"/>
          <w:szCs w:val="23"/>
        </w:rPr>
      </w:pPr>
    </w:p>
    <w:p w14:paraId="4C69D6E4" w14:textId="2E66ABA0" w:rsidR="007F32E5" w:rsidRPr="007F32E5" w:rsidRDefault="007F32E5" w:rsidP="009924D9">
      <w:pPr>
        <w:pStyle w:val="ListParagraph"/>
        <w:numPr>
          <w:ilvl w:val="0"/>
          <w:numId w:val="32"/>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Define SEA</w:t>
      </w:r>
      <w:r w:rsidR="00E86AF2">
        <w:rPr>
          <w:rFonts w:ascii="Times New Roman" w:hAnsi="Times New Roman" w:cs="Times New Roman"/>
          <w:sz w:val="23"/>
          <w:szCs w:val="23"/>
        </w:rPr>
        <w:t>/S</w:t>
      </w:r>
      <w:r w:rsidRPr="007F32E5">
        <w:rPr>
          <w:rFonts w:ascii="Times New Roman" w:hAnsi="Times New Roman" w:cs="Times New Roman"/>
          <w:sz w:val="23"/>
          <w:szCs w:val="23"/>
        </w:rPr>
        <w:t>H requirements and expectations included in the contractual obligations as well as reinforce CoCs that address SEA</w:t>
      </w:r>
      <w:r w:rsidR="00064134">
        <w:rPr>
          <w:rFonts w:ascii="Times New Roman" w:hAnsi="Times New Roman" w:cs="Times New Roman"/>
          <w:sz w:val="23"/>
          <w:szCs w:val="23"/>
        </w:rPr>
        <w:t>/S</w:t>
      </w:r>
      <w:r w:rsidRPr="007F32E5">
        <w:rPr>
          <w:rFonts w:ascii="Times New Roman" w:hAnsi="Times New Roman" w:cs="Times New Roman"/>
          <w:sz w:val="23"/>
          <w:szCs w:val="23"/>
        </w:rPr>
        <w:t>H in the project locations to cultivate an environment free from SEA</w:t>
      </w:r>
      <w:r w:rsidR="00064134">
        <w:rPr>
          <w:rFonts w:ascii="Times New Roman" w:hAnsi="Times New Roman" w:cs="Times New Roman"/>
          <w:sz w:val="23"/>
          <w:szCs w:val="23"/>
        </w:rPr>
        <w:t>/S</w:t>
      </w:r>
      <w:r w:rsidRPr="007F32E5">
        <w:rPr>
          <w:rFonts w:ascii="Times New Roman" w:hAnsi="Times New Roman" w:cs="Times New Roman"/>
          <w:sz w:val="23"/>
          <w:szCs w:val="23"/>
        </w:rPr>
        <w:t>H as well as regular dissemination of the CoC to the workers;</w:t>
      </w:r>
    </w:p>
    <w:p w14:paraId="1365D9E6" w14:textId="39E8D724" w:rsidR="007F32E5" w:rsidRPr="007F32E5" w:rsidRDefault="007F32E5" w:rsidP="009924D9">
      <w:pPr>
        <w:pStyle w:val="ListParagraph"/>
        <w:numPr>
          <w:ilvl w:val="0"/>
          <w:numId w:val="32"/>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Ensure a GBV specialist is in place to support SEA</w:t>
      </w:r>
      <w:r w:rsidR="00064134">
        <w:rPr>
          <w:rFonts w:ascii="Times New Roman" w:hAnsi="Times New Roman" w:cs="Times New Roman"/>
          <w:sz w:val="23"/>
          <w:szCs w:val="23"/>
        </w:rPr>
        <w:t>/S</w:t>
      </w:r>
      <w:r w:rsidRPr="007F32E5">
        <w:rPr>
          <w:rFonts w:ascii="Times New Roman" w:hAnsi="Times New Roman" w:cs="Times New Roman"/>
          <w:sz w:val="23"/>
          <w:szCs w:val="23"/>
        </w:rPr>
        <w:t>H risk management measures;</w:t>
      </w:r>
    </w:p>
    <w:p w14:paraId="456503B4" w14:textId="77777777" w:rsidR="007F32E5" w:rsidRPr="007F32E5" w:rsidRDefault="007F32E5" w:rsidP="009924D9">
      <w:pPr>
        <w:pStyle w:val="ListParagraph"/>
        <w:numPr>
          <w:ilvl w:val="0"/>
          <w:numId w:val="32"/>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Develop and deliver information, education, and communication materials for stakeholders to indicate that the project and/area is a SEAH free zone, as well as provide information on SEAH response services (such as hotline numbers and where to seek assistance when needed). Other information to be highlighted includes:</w:t>
      </w:r>
    </w:p>
    <w:p w14:paraId="4F4BDE3E" w14:textId="77777777" w:rsidR="007F32E5" w:rsidRPr="007F32E5" w:rsidRDefault="007F32E5" w:rsidP="009924D9">
      <w:pPr>
        <w:pStyle w:val="ListParagraph"/>
        <w:numPr>
          <w:ilvl w:val="1"/>
          <w:numId w:val="33"/>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 xml:space="preserve">No sexual or other favors can be requested in exchange for services; </w:t>
      </w:r>
    </w:p>
    <w:p w14:paraId="2C99BFCD" w14:textId="77777777" w:rsidR="007F32E5" w:rsidRPr="007F32E5" w:rsidRDefault="007F32E5" w:rsidP="009924D9">
      <w:pPr>
        <w:pStyle w:val="ListParagraph"/>
        <w:numPr>
          <w:ilvl w:val="1"/>
          <w:numId w:val="33"/>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 xml:space="preserve">Project staff are prohibited from engaging in SEAH and this information should be clearly spelt out during training and other forms of communication to the staff; </w:t>
      </w:r>
    </w:p>
    <w:p w14:paraId="215FD5B2" w14:textId="6F36EB08" w:rsidR="007F32E5" w:rsidRPr="007F32E5" w:rsidRDefault="007F32E5" w:rsidP="009924D9">
      <w:pPr>
        <w:pStyle w:val="ListParagraph"/>
        <w:numPr>
          <w:ilvl w:val="1"/>
          <w:numId w:val="33"/>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Any case or suspicion of SEA</w:t>
      </w:r>
      <w:r w:rsidR="00064134">
        <w:rPr>
          <w:rFonts w:ascii="Times New Roman" w:hAnsi="Times New Roman" w:cs="Times New Roman"/>
          <w:sz w:val="23"/>
          <w:szCs w:val="23"/>
        </w:rPr>
        <w:t>/S</w:t>
      </w:r>
      <w:r w:rsidRPr="007F32E5">
        <w:rPr>
          <w:rFonts w:ascii="Times New Roman" w:hAnsi="Times New Roman" w:cs="Times New Roman"/>
          <w:sz w:val="23"/>
          <w:szCs w:val="23"/>
        </w:rPr>
        <w:t>H should be reported to [hotline number, GM or citizen engagement/feedback mechanism];</w:t>
      </w:r>
    </w:p>
    <w:p w14:paraId="7495C64F" w14:textId="77777777" w:rsidR="007F32E5" w:rsidRPr="007F32E5" w:rsidRDefault="007F32E5" w:rsidP="009924D9">
      <w:pPr>
        <w:pStyle w:val="ListParagraph"/>
        <w:numPr>
          <w:ilvl w:val="1"/>
          <w:numId w:val="33"/>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 xml:space="preserve">Information on protection of whistleblowers; and  </w:t>
      </w:r>
    </w:p>
    <w:p w14:paraId="30E5AAD4" w14:textId="77777777" w:rsidR="007F32E5" w:rsidRPr="007F32E5" w:rsidRDefault="007F32E5" w:rsidP="009924D9">
      <w:pPr>
        <w:pStyle w:val="ListParagraph"/>
        <w:numPr>
          <w:ilvl w:val="1"/>
          <w:numId w:val="33"/>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The range of services available for survivors including healthcare, protection and psychosocial care.</w:t>
      </w:r>
    </w:p>
    <w:p w14:paraId="75D750AB" w14:textId="31801A76" w:rsidR="007F32E5" w:rsidRPr="007F32E5" w:rsidRDefault="007F32E5" w:rsidP="009924D9">
      <w:pPr>
        <w:pStyle w:val="ListParagraph"/>
        <w:numPr>
          <w:ilvl w:val="0"/>
          <w:numId w:val="32"/>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Identify and map SEA</w:t>
      </w:r>
      <w:r w:rsidR="00656838">
        <w:rPr>
          <w:rFonts w:ascii="Times New Roman" w:hAnsi="Times New Roman" w:cs="Times New Roman"/>
          <w:sz w:val="23"/>
          <w:szCs w:val="23"/>
        </w:rPr>
        <w:t>/S</w:t>
      </w:r>
      <w:r w:rsidRPr="007F32E5">
        <w:rPr>
          <w:rFonts w:ascii="Times New Roman" w:hAnsi="Times New Roman" w:cs="Times New Roman"/>
          <w:sz w:val="23"/>
          <w:szCs w:val="23"/>
        </w:rPr>
        <w:t>H service providers to ensure information is made available to health service providers on where psychosocial support and emergency medical services for survivors of SEA</w:t>
      </w:r>
      <w:r w:rsidR="00656838">
        <w:rPr>
          <w:rFonts w:ascii="Times New Roman" w:hAnsi="Times New Roman" w:cs="Times New Roman"/>
          <w:sz w:val="23"/>
          <w:szCs w:val="23"/>
        </w:rPr>
        <w:t>/S</w:t>
      </w:r>
      <w:r w:rsidRPr="007F32E5">
        <w:rPr>
          <w:rFonts w:ascii="Times New Roman" w:hAnsi="Times New Roman" w:cs="Times New Roman"/>
          <w:sz w:val="23"/>
          <w:szCs w:val="23"/>
        </w:rPr>
        <w:t xml:space="preserve">H can be accessed (within the healthcare system); </w:t>
      </w:r>
    </w:p>
    <w:p w14:paraId="603E9F2A" w14:textId="7D91BBE5" w:rsidR="007F32E5" w:rsidRPr="007F32E5" w:rsidRDefault="007F32E5" w:rsidP="009924D9">
      <w:pPr>
        <w:pStyle w:val="ListParagraph"/>
        <w:numPr>
          <w:ilvl w:val="0"/>
          <w:numId w:val="32"/>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Develop SEA</w:t>
      </w:r>
      <w:r w:rsidR="00656838">
        <w:rPr>
          <w:rFonts w:ascii="Times New Roman" w:hAnsi="Times New Roman" w:cs="Times New Roman"/>
          <w:sz w:val="23"/>
          <w:szCs w:val="23"/>
        </w:rPr>
        <w:t>/S/S</w:t>
      </w:r>
      <w:r w:rsidRPr="007F32E5">
        <w:rPr>
          <w:rFonts w:ascii="Times New Roman" w:hAnsi="Times New Roman" w:cs="Times New Roman"/>
          <w:sz w:val="23"/>
          <w:szCs w:val="23"/>
        </w:rPr>
        <w:t xml:space="preserve">H prevention policy and response procedures that outline key requirements for reporting cases if they arise, measures to enable safe, ethical, survivor-centered response and disciplinary processes; </w:t>
      </w:r>
    </w:p>
    <w:p w14:paraId="5D6CEF97" w14:textId="52C8B3D9" w:rsidR="007F32E5" w:rsidRPr="007F32E5" w:rsidRDefault="007F32E5" w:rsidP="009924D9">
      <w:pPr>
        <w:pStyle w:val="ListParagraph"/>
        <w:numPr>
          <w:ilvl w:val="0"/>
          <w:numId w:val="32"/>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Train all project staff and workers (where feasible) and integrate understanding of the CoC, SEA</w:t>
      </w:r>
      <w:r w:rsidR="00656838">
        <w:rPr>
          <w:rFonts w:ascii="Times New Roman" w:hAnsi="Times New Roman" w:cs="Times New Roman"/>
          <w:sz w:val="23"/>
          <w:szCs w:val="23"/>
        </w:rPr>
        <w:t>/S</w:t>
      </w:r>
      <w:r w:rsidRPr="007F32E5">
        <w:rPr>
          <w:rFonts w:ascii="Times New Roman" w:hAnsi="Times New Roman" w:cs="Times New Roman"/>
          <w:sz w:val="23"/>
          <w:szCs w:val="23"/>
        </w:rPr>
        <w:t>H as well as accountability and response framework including the referral processes, responsibilities and reporting in other trainings; and</w:t>
      </w:r>
    </w:p>
    <w:p w14:paraId="37304BD2" w14:textId="14243735" w:rsidR="007F32E5" w:rsidRDefault="007F32E5" w:rsidP="007F32E5">
      <w:pPr>
        <w:pStyle w:val="ListParagraph"/>
        <w:spacing w:after="0" w:line="240" w:lineRule="auto"/>
        <w:ind w:left="1440"/>
        <w:jc w:val="both"/>
        <w:rPr>
          <w:rFonts w:ascii="Times New Roman" w:hAnsi="Times New Roman" w:cs="Times New Roman"/>
          <w:sz w:val="23"/>
          <w:szCs w:val="23"/>
        </w:rPr>
      </w:pPr>
      <w:r w:rsidRPr="007F32E5">
        <w:rPr>
          <w:rFonts w:ascii="Times New Roman" w:hAnsi="Times New Roman" w:cs="Times New Roman"/>
          <w:sz w:val="23"/>
          <w:szCs w:val="23"/>
        </w:rPr>
        <w:t xml:space="preserve">Utilizing the GM developed under the project with a separate channel to manage SEAH-related complaints to enable reporting in a safe, confidential survivor-centric manner. </w:t>
      </w:r>
      <w:r w:rsidRPr="007F32E5">
        <w:rPr>
          <w:rFonts w:ascii="Times New Roman" w:hAnsi="Times New Roman" w:cs="Times New Roman"/>
          <w:color w:val="000000"/>
          <w:sz w:val="23"/>
          <w:szCs w:val="23"/>
        </w:rPr>
        <w:t>Cases of SEA</w:t>
      </w:r>
      <w:r w:rsidR="00656838">
        <w:rPr>
          <w:rFonts w:ascii="Times New Roman" w:hAnsi="Times New Roman" w:cs="Times New Roman"/>
          <w:color w:val="000000"/>
          <w:sz w:val="23"/>
          <w:szCs w:val="23"/>
        </w:rPr>
        <w:t>/S</w:t>
      </w:r>
      <w:r w:rsidRPr="007F32E5">
        <w:rPr>
          <w:rFonts w:ascii="Times New Roman" w:hAnsi="Times New Roman" w:cs="Times New Roman"/>
          <w:color w:val="000000"/>
          <w:sz w:val="23"/>
          <w:szCs w:val="23"/>
        </w:rPr>
        <w:t xml:space="preserve">H can be reported through the general Project GM – through the suggestion box, or through the GM Hotline Operator, phones calls, emails etc. to be developed). </w:t>
      </w:r>
      <w:r w:rsidRPr="007F32E5">
        <w:rPr>
          <w:rFonts w:ascii="Times New Roman" w:hAnsi="Times New Roman" w:cs="Times New Roman"/>
          <w:sz w:val="23"/>
          <w:szCs w:val="23"/>
        </w:rPr>
        <w:t>The project GM will ensure all incidents of SEA</w:t>
      </w:r>
      <w:r w:rsidR="00656838">
        <w:rPr>
          <w:rFonts w:ascii="Times New Roman" w:hAnsi="Times New Roman" w:cs="Times New Roman"/>
          <w:sz w:val="23"/>
          <w:szCs w:val="23"/>
        </w:rPr>
        <w:t>/S</w:t>
      </w:r>
      <w:r w:rsidRPr="007F32E5">
        <w:rPr>
          <w:rFonts w:ascii="Times New Roman" w:hAnsi="Times New Roman" w:cs="Times New Roman"/>
          <w:sz w:val="23"/>
          <w:szCs w:val="23"/>
        </w:rPr>
        <w:t xml:space="preserve">H reported either through the general GM system that is related to the new project are relayed to the </w:t>
      </w:r>
      <w:r w:rsidR="004218F1">
        <w:rPr>
          <w:rFonts w:ascii="Times New Roman" w:hAnsi="Times New Roman" w:cs="Times New Roman"/>
          <w:sz w:val="23"/>
          <w:szCs w:val="23"/>
        </w:rPr>
        <w:t xml:space="preserve">project implementation </w:t>
      </w:r>
      <w:r w:rsidR="00FD3A30">
        <w:rPr>
          <w:rFonts w:ascii="Times New Roman" w:hAnsi="Times New Roman" w:cs="Times New Roman"/>
          <w:sz w:val="23"/>
          <w:szCs w:val="23"/>
        </w:rPr>
        <w:t>coordinator</w:t>
      </w:r>
      <w:r w:rsidRPr="007F32E5">
        <w:rPr>
          <w:rFonts w:ascii="Times New Roman" w:hAnsi="Times New Roman" w:cs="Times New Roman"/>
          <w:sz w:val="23"/>
          <w:szCs w:val="23"/>
        </w:rPr>
        <w:t xml:space="preserve"> and Bank within 48 hours</w:t>
      </w:r>
      <w:r w:rsidR="0026379C">
        <w:rPr>
          <w:rFonts w:ascii="Times New Roman" w:hAnsi="Times New Roman" w:cs="Times New Roman"/>
          <w:sz w:val="23"/>
          <w:szCs w:val="23"/>
        </w:rPr>
        <w:t>.</w:t>
      </w:r>
    </w:p>
    <w:p w14:paraId="4C396BD3" w14:textId="77777777" w:rsidR="0026379C" w:rsidRDefault="0026379C" w:rsidP="007F32E5">
      <w:pPr>
        <w:pStyle w:val="ListParagraph"/>
        <w:spacing w:after="0" w:line="240" w:lineRule="auto"/>
        <w:ind w:left="1440"/>
        <w:jc w:val="both"/>
        <w:rPr>
          <w:rFonts w:ascii="Times New Roman" w:hAnsi="Times New Roman" w:cs="Times New Roman"/>
          <w:sz w:val="23"/>
          <w:szCs w:val="23"/>
        </w:rPr>
      </w:pPr>
    </w:p>
    <w:p w14:paraId="0B4B2999" w14:textId="77777777" w:rsidR="004218F1" w:rsidRDefault="004218F1" w:rsidP="007F32E5">
      <w:pPr>
        <w:pStyle w:val="ListParagraph"/>
        <w:spacing w:after="0" w:line="240" w:lineRule="auto"/>
        <w:ind w:left="1440"/>
        <w:jc w:val="both"/>
        <w:rPr>
          <w:rFonts w:ascii="Times New Roman" w:hAnsi="Times New Roman" w:cs="Times New Roman"/>
          <w:sz w:val="23"/>
          <w:szCs w:val="23"/>
        </w:rPr>
      </w:pPr>
    </w:p>
    <w:p w14:paraId="3528A85C" w14:textId="34307A62" w:rsidR="004218F1" w:rsidRDefault="004218F1" w:rsidP="007F32E5">
      <w:pPr>
        <w:pStyle w:val="ListParagraph"/>
        <w:spacing w:after="0" w:line="240" w:lineRule="auto"/>
        <w:ind w:left="1440"/>
        <w:jc w:val="both"/>
        <w:rPr>
          <w:rFonts w:ascii="Times New Roman" w:hAnsi="Times New Roman" w:cs="Times New Roman"/>
          <w:sz w:val="23"/>
          <w:szCs w:val="23"/>
        </w:rPr>
      </w:pPr>
    </w:p>
    <w:p w14:paraId="51631494" w14:textId="77777777" w:rsidR="007F7FE2" w:rsidRDefault="007F7FE2" w:rsidP="007F32E5">
      <w:pPr>
        <w:pStyle w:val="ListParagraph"/>
        <w:spacing w:after="0" w:line="240" w:lineRule="auto"/>
        <w:ind w:left="1440"/>
        <w:jc w:val="both"/>
        <w:rPr>
          <w:rFonts w:ascii="Times New Roman" w:hAnsi="Times New Roman" w:cs="Times New Roman"/>
          <w:sz w:val="23"/>
          <w:szCs w:val="23"/>
        </w:rPr>
      </w:pPr>
    </w:p>
    <w:p w14:paraId="25EE8305" w14:textId="77777777" w:rsidR="007F7FE2" w:rsidRPr="007F32E5" w:rsidRDefault="007F7FE2" w:rsidP="007F32E5">
      <w:pPr>
        <w:pStyle w:val="ListParagraph"/>
        <w:spacing w:after="0" w:line="240" w:lineRule="auto"/>
        <w:ind w:left="1440"/>
        <w:jc w:val="both"/>
        <w:rPr>
          <w:rFonts w:ascii="Times New Roman" w:hAnsi="Times New Roman" w:cs="Times New Roman"/>
          <w:sz w:val="23"/>
          <w:szCs w:val="23"/>
        </w:rPr>
      </w:pPr>
    </w:p>
    <w:p w14:paraId="52D99A91" w14:textId="4D6D8A1D" w:rsidR="007F32E5" w:rsidRPr="00D53C63" w:rsidRDefault="007F32E5" w:rsidP="007F32E5">
      <w:pPr>
        <w:pStyle w:val="Heading2"/>
        <w:rPr>
          <w:sz w:val="23"/>
          <w:szCs w:val="23"/>
        </w:rPr>
      </w:pPr>
      <w:r w:rsidRPr="00D53C63">
        <w:rPr>
          <w:sz w:val="23"/>
          <w:szCs w:val="23"/>
        </w:rPr>
        <w:t xml:space="preserve"> </w:t>
      </w:r>
      <w:bookmarkStart w:id="34" w:name="_Toc141127708"/>
      <w:r w:rsidRPr="00D53C63">
        <w:rPr>
          <w:sz w:val="23"/>
          <w:szCs w:val="23"/>
        </w:rPr>
        <w:t>SEA</w:t>
      </w:r>
      <w:r w:rsidR="00656838">
        <w:rPr>
          <w:sz w:val="23"/>
          <w:szCs w:val="23"/>
        </w:rPr>
        <w:t>/S</w:t>
      </w:r>
      <w:r w:rsidRPr="00D53C63">
        <w:rPr>
          <w:sz w:val="23"/>
          <w:szCs w:val="23"/>
        </w:rPr>
        <w:t>H Reporting Process</w:t>
      </w:r>
      <w:bookmarkEnd w:id="34"/>
    </w:p>
    <w:p w14:paraId="24928B0D" w14:textId="77777777" w:rsidR="00614821" w:rsidRDefault="00614821" w:rsidP="00614821">
      <w:pPr>
        <w:spacing w:after="0" w:line="240" w:lineRule="auto"/>
        <w:jc w:val="both"/>
        <w:rPr>
          <w:rFonts w:ascii="Times New Roman" w:hAnsi="Times New Roman" w:cs="Times New Roman"/>
          <w:sz w:val="23"/>
          <w:szCs w:val="23"/>
        </w:rPr>
      </w:pPr>
    </w:p>
    <w:p w14:paraId="010BA05F" w14:textId="32622074" w:rsidR="007F32E5" w:rsidRPr="00614821" w:rsidRDefault="007F32E5" w:rsidP="00614821">
      <w:pPr>
        <w:spacing w:after="0" w:line="240" w:lineRule="auto"/>
        <w:jc w:val="both"/>
        <w:rPr>
          <w:rFonts w:ascii="Times New Roman" w:hAnsi="Times New Roman" w:cs="Times New Roman"/>
          <w:sz w:val="23"/>
          <w:szCs w:val="23"/>
        </w:rPr>
      </w:pPr>
      <w:r w:rsidRPr="00614821">
        <w:rPr>
          <w:rFonts w:ascii="Times New Roman" w:hAnsi="Times New Roman" w:cs="Times New Roman"/>
          <w:sz w:val="23"/>
          <w:szCs w:val="23"/>
        </w:rPr>
        <w:t>The SEA</w:t>
      </w:r>
      <w:r w:rsidR="00656838">
        <w:rPr>
          <w:rFonts w:ascii="Times New Roman" w:hAnsi="Times New Roman" w:cs="Times New Roman"/>
          <w:sz w:val="23"/>
          <w:szCs w:val="23"/>
        </w:rPr>
        <w:t>/S</w:t>
      </w:r>
      <w:r w:rsidRPr="00614821">
        <w:rPr>
          <w:rFonts w:ascii="Times New Roman" w:hAnsi="Times New Roman" w:cs="Times New Roman"/>
          <w:sz w:val="23"/>
          <w:szCs w:val="23"/>
        </w:rPr>
        <w:t>H reporting process is characterized by two cardinal elements namely, confidentiality and urgency. Confidentiality to protect the privacy and choices of the victim, and access assistance and care for the victim. For these reasons the complaint is not expected to follow a uniform pattern. The complainant will be free to use any avenue to report including text message, email, phone call, written note, or word of mouth in person to trusted colleague, member of the GM, SEA</w:t>
      </w:r>
      <w:r w:rsidR="00656838">
        <w:rPr>
          <w:rFonts w:ascii="Times New Roman" w:hAnsi="Times New Roman" w:cs="Times New Roman"/>
          <w:sz w:val="23"/>
          <w:szCs w:val="23"/>
        </w:rPr>
        <w:t>/S</w:t>
      </w:r>
      <w:r w:rsidRPr="00614821">
        <w:rPr>
          <w:rFonts w:ascii="Times New Roman" w:hAnsi="Times New Roman" w:cs="Times New Roman"/>
          <w:sz w:val="23"/>
          <w:szCs w:val="23"/>
        </w:rPr>
        <w:t xml:space="preserve">H service provider, or local </w:t>
      </w:r>
      <w:r w:rsidR="004C4706">
        <w:rPr>
          <w:rFonts w:ascii="Times New Roman" w:hAnsi="Times New Roman" w:cs="Times New Roman"/>
          <w:sz w:val="23"/>
          <w:szCs w:val="23"/>
        </w:rPr>
        <w:t>non-governmental</w:t>
      </w:r>
      <w:r w:rsidR="007F7FE2">
        <w:rPr>
          <w:rFonts w:ascii="Times New Roman" w:hAnsi="Times New Roman" w:cs="Times New Roman"/>
          <w:sz w:val="23"/>
          <w:szCs w:val="23"/>
        </w:rPr>
        <w:t xml:space="preserve"> organisations and civil society organ</w:t>
      </w:r>
      <w:r w:rsidR="006861BC">
        <w:rPr>
          <w:rFonts w:ascii="Times New Roman" w:hAnsi="Times New Roman" w:cs="Times New Roman"/>
          <w:sz w:val="23"/>
          <w:szCs w:val="23"/>
        </w:rPr>
        <w:t>is</w:t>
      </w:r>
      <w:r w:rsidR="007F7FE2">
        <w:rPr>
          <w:rFonts w:ascii="Times New Roman" w:hAnsi="Times New Roman" w:cs="Times New Roman"/>
          <w:sz w:val="23"/>
          <w:szCs w:val="23"/>
        </w:rPr>
        <w:t>ations</w:t>
      </w:r>
      <w:r w:rsidRPr="00614821">
        <w:rPr>
          <w:rFonts w:ascii="Times New Roman" w:hAnsi="Times New Roman" w:cs="Times New Roman"/>
          <w:sz w:val="23"/>
          <w:szCs w:val="23"/>
        </w:rPr>
        <w:t>, among others. If the report is received by any other person or entity other than the designated SEAH services provider, the case should be referred as soon as possible thereafter to the service provider.</w:t>
      </w:r>
    </w:p>
    <w:p w14:paraId="3613FB02" w14:textId="77777777" w:rsidR="007F32E5" w:rsidRPr="007F32E5" w:rsidRDefault="007F32E5" w:rsidP="007F32E5">
      <w:pPr>
        <w:pStyle w:val="ListParagraph"/>
        <w:spacing w:after="0" w:line="240" w:lineRule="auto"/>
        <w:ind w:left="1440"/>
        <w:jc w:val="both"/>
        <w:rPr>
          <w:rFonts w:ascii="Times New Roman" w:hAnsi="Times New Roman" w:cs="Times New Roman"/>
          <w:sz w:val="23"/>
          <w:szCs w:val="23"/>
        </w:rPr>
      </w:pPr>
    </w:p>
    <w:p w14:paraId="379152CC" w14:textId="3F4D9A6A" w:rsidR="007F32E5" w:rsidRPr="00614821" w:rsidRDefault="007F32E5" w:rsidP="00614821">
      <w:pPr>
        <w:spacing w:after="0" w:line="240" w:lineRule="auto"/>
        <w:jc w:val="both"/>
        <w:rPr>
          <w:rFonts w:ascii="Times New Roman" w:hAnsi="Times New Roman" w:cs="Times New Roman"/>
          <w:sz w:val="23"/>
          <w:szCs w:val="23"/>
        </w:rPr>
      </w:pPr>
      <w:r w:rsidRPr="00614821">
        <w:rPr>
          <w:rFonts w:ascii="Times New Roman" w:hAnsi="Times New Roman" w:cs="Times New Roman"/>
          <w:sz w:val="23"/>
          <w:szCs w:val="23"/>
        </w:rPr>
        <w:t xml:space="preserve">The process of assistance will follow the steps below. </w:t>
      </w:r>
      <w:r w:rsidRPr="00825066">
        <w:rPr>
          <w:rFonts w:ascii="Times New Roman" w:hAnsi="Times New Roman" w:cs="Times New Roman"/>
        </w:rPr>
        <w:t>The person that receives the complaint/report will inform</w:t>
      </w:r>
      <w:r w:rsidR="002C5055" w:rsidRPr="00825066">
        <w:rPr>
          <w:rFonts w:ascii="Times New Roman" w:hAnsi="Times New Roman" w:cs="Times New Roman"/>
        </w:rPr>
        <w:t xml:space="preserve"> KDEAP</w:t>
      </w:r>
      <w:r w:rsidRPr="00825066">
        <w:rPr>
          <w:rFonts w:ascii="Times New Roman" w:hAnsi="Times New Roman" w:cs="Times New Roman"/>
        </w:rPr>
        <w:t xml:space="preserve"> Project Coordinator immediately</w:t>
      </w:r>
      <w:r w:rsidR="00E21113" w:rsidRPr="00825066">
        <w:rPr>
          <w:rFonts w:ascii="Times New Roman" w:hAnsi="Times New Roman" w:cs="Times New Roman"/>
        </w:rPr>
        <w:t xml:space="preserve"> </w:t>
      </w:r>
      <w:r w:rsidR="00E21113" w:rsidRPr="00825066">
        <w:rPr>
          <w:rStyle w:val="cf01"/>
          <w:rFonts w:ascii="Times New Roman" w:hAnsi="Times New Roman" w:cs="Times New Roman"/>
          <w:sz w:val="22"/>
          <w:szCs w:val="22"/>
        </w:rPr>
        <w:t>while ensuring confidentiality is maintained at all times.</w:t>
      </w:r>
      <w:r w:rsidRPr="00825066">
        <w:rPr>
          <w:rFonts w:ascii="Times New Roman" w:hAnsi="Times New Roman" w:cs="Times New Roman"/>
        </w:rPr>
        <w:t xml:space="preserve"> The P</w:t>
      </w:r>
      <w:r w:rsidR="00656838" w:rsidRPr="00825066">
        <w:rPr>
          <w:rFonts w:ascii="Times New Roman" w:hAnsi="Times New Roman" w:cs="Times New Roman"/>
        </w:rPr>
        <w:t>IU</w:t>
      </w:r>
      <w:r w:rsidRPr="00825066">
        <w:rPr>
          <w:rFonts w:ascii="Times New Roman" w:hAnsi="Times New Roman" w:cs="Times New Roman"/>
        </w:rPr>
        <w:t xml:space="preserve"> arranges for any required emergency support</w:t>
      </w:r>
      <w:r w:rsidRPr="00614821">
        <w:rPr>
          <w:rFonts w:ascii="Times New Roman" w:hAnsi="Times New Roman" w:cs="Times New Roman"/>
          <w:sz w:val="23"/>
          <w:szCs w:val="23"/>
        </w:rPr>
        <w:t xml:space="preserve"> and care in coordination with the designated SEA</w:t>
      </w:r>
      <w:r w:rsidR="00656838">
        <w:rPr>
          <w:rFonts w:ascii="Times New Roman" w:hAnsi="Times New Roman" w:cs="Times New Roman"/>
          <w:sz w:val="23"/>
          <w:szCs w:val="23"/>
        </w:rPr>
        <w:t>/S</w:t>
      </w:r>
      <w:r w:rsidRPr="00614821">
        <w:rPr>
          <w:rFonts w:ascii="Times New Roman" w:hAnsi="Times New Roman" w:cs="Times New Roman"/>
          <w:sz w:val="23"/>
          <w:szCs w:val="23"/>
        </w:rPr>
        <w:t xml:space="preserve">H/GBV expert or identified service provider and contemporaneously refers the case to the service provider. </w:t>
      </w:r>
      <w:r w:rsidR="00873A07">
        <w:rPr>
          <w:rFonts w:ascii="Times New Roman" w:hAnsi="Times New Roman" w:cs="Times New Roman"/>
          <w:sz w:val="23"/>
          <w:szCs w:val="23"/>
        </w:rPr>
        <w:t>T</w:t>
      </w:r>
      <w:r w:rsidRPr="00614821">
        <w:rPr>
          <w:rFonts w:ascii="Times New Roman" w:hAnsi="Times New Roman" w:cs="Times New Roman"/>
          <w:sz w:val="23"/>
          <w:szCs w:val="23"/>
        </w:rPr>
        <w:t>he P</w:t>
      </w:r>
      <w:r w:rsidR="00656838">
        <w:rPr>
          <w:rFonts w:ascii="Times New Roman" w:hAnsi="Times New Roman" w:cs="Times New Roman"/>
          <w:sz w:val="23"/>
          <w:szCs w:val="23"/>
        </w:rPr>
        <w:t>IU</w:t>
      </w:r>
      <w:r w:rsidRPr="00614821">
        <w:rPr>
          <w:rFonts w:ascii="Times New Roman" w:hAnsi="Times New Roman" w:cs="Times New Roman"/>
          <w:sz w:val="23"/>
          <w:szCs w:val="23"/>
        </w:rPr>
        <w:t xml:space="preserve"> to report any SEA</w:t>
      </w:r>
      <w:r w:rsidR="00656838">
        <w:rPr>
          <w:rFonts w:ascii="Times New Roman" w:hAnsi="Times New Roman" w:cs="Times New Roman"/>
          <w:sz w:val="23"/>
          <w:szCs w:val="23"/>
        </w:rPr>
        <w:t>/S</w:t>
      </w:r>
      <w:r w:rsidRPr="00614821">
        <w:rPr>
          <w:rFonts w:ascii="Times New Roman" w:hAnsi="Times New Roman" w:cs="Times New Roman"/>
          <w:sz w:val="23"/>
          <w:szCs w:val="23"/>
        </w:rPr>
        <w:t xml:space="preserve">H incident to the Bank within 24 hours. </w:t>
      </w:r>
    </w:p>
    <w:p w14:paraId="5D221D98" w14:textId="77777777" w:rsidR="007F32E5" w:rsidRPr="007F32E5" w:rsidRDefault="007F32E5" w:rsidP="007F32E5">
      <w:pPr>
        <w:pStyle w:val="ListParagraph"/>
        <w:spacing w:after="0" w:line="240" w:lineRule="auto"/>
        <w:ind w:left="1440"/>
        <w:jc w:val="both"/>
        <w:rPr>
          <w:rFonts w:ascii="Times New Roman" w:hAnsi="Times New Roman" w:cs="Times New Roman"/>
          <w:sz w:val="23"/>
          <w:szCs w:val="23"/>
        </w:rPr>
      </w:pPr>
    </w:p>
    <w:p w14:paraId="424C30E1" w14:textId="77777777" w:rsidR="009278B9" w:rsidRDefault="007F32E5" w:rsidP="00614821">
      <w:pPr>
        <w:spacing w:after="0" w:line="240" w:lineRule="auto"/>
        <w:jc w:val="both"/>
        <w:rPr>
          <w:rFonts w:ascii="Times New Roman" w:hAnsi="Times New Roman" w:cs="Times New Roman"/>
          <w:sz w:val="23"/>
          <w:szCs w:val="23"/>
        </w:rPr>
      </w:pPr>
      <w:r w:rsidRPr="00614821">
        <w:rPr>
          <w:rFonts w:ascii="Times New Roman" w:hAnsi="Times New Roman" w:cs="Times New Roman"/>
          <w:sz w:val="23"/>
          <w:szCs w:val="23"/>
        </w:rPr>
        <w:t>Meanwhile complaint is referred to the SEA</w:t>
      </w:r>
      <w:r w:rsidR="00656838">
        <w:rPr>
          <w:rFonts w:ascii="Times New Roman" w:hAnsi="Times New Roman" w:cs="Times New Roman"/>
          <w:sz w:val="23"/>
          <w:szCs w:val="23"/>
        </w:rPr>
        <w:t>/S</w:t>
      </w:r>
      <w:r w:rsidRPr="00614821">
        <w:rPr>
          <w:rFonts w:ascii="Times New Roman" w:hAnsi="Times New Roman" w:cs="Times New Roman"/>
          <w:sz w:val="23"/>
          <w:szCs w:val="23"/>
        </w:rPr>
        <w:t xml:space="preserve">H Complaints Team which: </w:t>
      </w:r>
    </w:p>
    <w:p w14:paraId="00D646FC" w14:textId="30C4D313" w:rsidR="007F32E5" w:rsidRPr="00825066" w:rsidRDefault="007F32E5" w:rsidP="00825066">
      <w:pPr>
        <w:pStyle w:val="ListParagraph"/>
        <w:numPr>
          <w:ilvl w:val="0"/>
          <w:numId w:val="39"/>
        </w:numPr>
        <w:spacing w:after="0" w:line="240" w:lineRule="auto"/>
        <w:jc w:val="both"/>
        <w:rPr>
          <w:rFonts w:ascii="Times New Roman" w:hAnsi="Times New Roman" w:cs="Times New Roman"/>
          <w:sz w:val="23"/>
          <w:szCs w:val="23"/>
        </w:rPr>
      </w:pPr>
      <w:r w:rsidRPr="00825066">
        <w:rPr>
          <w:rFonts w:ascii="Times New Roman" w:hAnsi="Times New Roman" w:cs="Times New Roman"/>
          <w:sz w:val="23"/>
          <w:szCs w:val="23"/>
        </w:rPr>
        <w:t>Reviews the case and collectively agree</w:t>
      </w:r>
      <w:r w:rsidR="009278B9">
        <w:rPr>
          <w:rFonts w:ascii="Times New Roman" w:hAnsi="Times New Roman" w:cs="Times New Roman"/>
          <w:sz w:val="23"/>
          <w:szCs w:val="23"/>
        </w:rPr>
        <w:t>s</w:t>
      </w:r>
      <w:r w:rsidRPr="00825066">
        <w:rPr>
          <w:rFonts w:ascii="Times New Roman" w:hAnsi="Times New Roman" w:cs="Times New Roman"/>
          <w:sz w:val="23"/>
          <w:szCs w:val="23"/>
        </w:rPr>
        <w:t xml:space="preserve"> upon the appropriate actions to be taken and sanctions, </w:t>
      </w:r>
      <w:r w:rsidR="00024143">
        <w:rPr>
          <w:rFonts w:ascii="Times New Roman" w:hAnsi="Times New Roman" w:cs="Times New Roman"/>
          <w:sz w:val="23"/>
          <w:szCs w:val="23"/>
        </w:rPr>
        <w:t>if any, including whether an investigation is warranted</w:t>
      </w:r>
      <w:r w:rsidRPr="00825066">
        <w:rPr>
          <w:rFonts w:ascii="Times New Roman" w:hAnsi="Times New Roman" w:cs="Times New Roman"/>
          <w:sz w:val="23"/>
          <w:szCs w:val="23"/>
        </w:rPr>
        <w:t>.</w:t>
      </w:r>
    </w:p>
    <w:p w14:paraId="376DE134" w14:textId="4BEFCEE1" w:rsidR="007F32E5" w:rsidRPr="007F32E5" w:rsidRDefault="00601090" w:rsidP="009924D9">
      <w:pPr>
        <w:pStyle w:val="ListParagraph"/>
        <w:numPr>
          <w:ilvl w:val="0"/>
          <w:numId w:val="3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Survivor may r</w:t>
      </w:r>
      <w:r w:rsidR="007F32E5" w:rsidRPr="007F32E5">
        <w:rPr>
          <w:rFonts w:ascii="Times New Roman" w:hAnsi="Times New Roman" w:cs="Times New Roman"/>
          <w:sz w:val="23"/>
          <w:szCs w:val="23"/>
        </w:rPr>
        <w:t>efer the case to the police as appropriate</w:t>
      </w:r>
      <w:r w:rsidR="005F2D1D">
        <w:rPr>
          <w:rFonts w:ascii="Times New Roman" w:hAnsi="Times New Roman" w:cs="Times New Roman"/>
          <w:sz w:val="23"/>
          <w:szCs w:val="23"/>
        </w:rPr>
        <w:t xml:space="preserve">, </w:t>
      </w:r>
      <w:r w:rsidR="007F32E5" w:rsidRPr="007F32E5">
        <w:rPr>
          <w:rFonts w:ascii="Times New Roman" w:hAnsi="Times New Roman" w:cs="Times New Roman"/>
          <w:sz w:val="23"/>
          <w:szCs w:val="23"/>
        </w:rPr>
        <w:t>according to the law</w:t>
      </w:r>
      <w:r w:rsidR="002E1C19">
        <w:rPr>
          <w:rFonts w:ascii="Times New Roman" w:hAnsi="Times New Roman" w:cs="Times New Roman"/>
          <w:sz w:val="23"/>
          <w:szCs w:val="23"/>
        </w:rPr>
        <w:t>.</w:t>
      </w:r>
    </w:p>
    <w:p w14:paraId="0D654F74" w14:textId="0C01C971" w:rsidR="007F32E5" w:rsidRPr="007F32E5" w:rsidRDefault="007F32E5" w:rsidP="009924D9">
      <w:pPr>
        <w:pStyle w:val="ListParagraph"/>
        <w:numPr>
          <w:ilvl w:val="0"/>
          <w:numId w:val="34"/>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Assigns the appropriate ‘Focal Point’ to implement the actions—with the assistance of the SEA</w:t>
      </w:r>
      <w:r w:rsidR="00656838">
        <w:rPr>
          <w:rFonts w:ascii="Times New Roman" w:hAnsi="Times New Roman" w:cs="Times New Roman"/>
          <w:sz w:val="23"/>
          <w:szCs w:val="23"/>
        </w:rPr>
        <w:t>/S</w:t>
      </w:r>
      <w:r w:rsidRPr="007F32E5">
        <w:rPr>
          <w:rFonts w:ascii="Times New Roman" w:hAnsi="Times New Roman" w:cs="Times New Roman"/>
          <w:sz w:val="23"/>
          <w:szCs w:val="23"/>
        </w:rPr>
        <w:t>H expert or Services Provider—in accordance with their employment contract and the appropriate code of conduct if applicable.</w:t>
      </w:r>
    </w:p>
    <w:p w14:paraId="02A5BFA1" w14:textId="0F66A71C" w:rsidR="007F32E5" w:rsidRPr="007F32E5" w:rsidRDefault="007F32E5" w:rsidP="009924D9">
      <w:pPr>
        <w:pStyle w:val="ListParagraph"/>
        <w:numPr>
          <w:ilvl w:val="0"/>
          <w:numId w:val="34"/>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Upon resolution, the Focal Point and SEA</w:t>
      </w:r>
      <w:r w:rsidR="00656838">
        <w:rPr>
          <w:rFonts w:ascii="Times New Roman" w:hAnsi="Times New Roman" w:cs="Times New Roman"/>
          <w:sz w:val="23"/>
          <w:szCs w:val="23"/>
        </w:rPr>
        <w:t>/S</w:t>
      </w:r>
      <w:r w:rsidRPr="007F32E5">
        <w:rPr>
          <w:rFonts w:ascii="Times New Roman" w:hAnsi="Times New Roman" w:cs="Times New Roman"/>
          <w:sz w:val="23"/>
          <w:szCs w:val="23"/>
        </w:rPr>
        <w:t>H Services Provider advise the survivor that it has been resolved, who in turn advise the GM operator.</w:t>
      </w:r>
    </w:p>
    <w:p w14:paraId="2BB53697" w14:textId="77777777" w:rsidR="007F32E5" w:rsidRDefault="007F32E5" w:rsidP="009924D9">
      <w:pPr>
        <w:pStyle w:val="ListParagraph"/>
        <w:numPr>
          <w:ilvl w:val="0"/>
          <w:numId w:val="34"/>
        </w:numPr>
        <w:spacing w:after="0" w:line="240" w:lineRule="auto"/>
        <w:jc w:val="both"/>
        <w:rPr>
          <w:rFonts w:ascii="Times New Roman" w:hAnsi="Times New Roman" w:cs="Times New Roman"/>
          <w:sz w:val="23"/>
          <w:szCs w:val="23"/>
        </w:rPr>
      </w:pPr>
      <w:r w:rsidRPr="007F32E5">
        <w:rPr>
          <w:rFonts w:ascii="Times New Roman" w:hAnsi="Times New Roman" w:cs="Times New Roman"/>
          <w:sz w:val="23"/>
          <w:szCs w:val="23"/>
        </w:rPr>
        <w:t>The GM operator notes the resolution and closes the case.</w:t>
      </w:r>
    </w:p>
    <w:p w14:paraId="7A352635" w14:textId="77777777" w:rsidR="00A6643E" w:rsidRDefault="00A6643E" w:rsidP="00A6643E">
      <w:pPr>
        <w:spacing w:after="0" w:line="240" w:lineRule="auto"/>
        <w:jc w:val="both"/>
        <w:rPr>
          <w:rFonts w:ascii="Times New Roman" w:hAnsi="Times New Roman" w:cs="Times New Roman"/>
          <w:sz w:val="23"/>
          <w:szCs w:val="23"/>
        </w:rPr>
      </w:pPr>
    </w:p>
    <w:p w14:paraId="388A159C" w14:textId="77777777" w:rsidR="00A6643E" w:rsidRPr="00A6643E" w:rsidRDefault="00A6643E" w:rsidP="00A6643E">
      <w:pPr>
        <w:spacing w:after="0" w:line="240" w:lineRule="auto"/>
        <w:jc w:val="both"/>
        <w:rPr>
          <w:rFonts w:ascii="Times New Roman" w:hAnsi="Times New Roman" w:cs="Times New Roman"/>
          <w:sz w:val="23"/>
          <w:szCs w:val="23"/>
        </w:rPr>
      </w:pPr>
    </w:p>
    <w:p w14:paraId="4F9306BE" w14:textId="77777777" w:rsidR="00E40716" w:rsidRPr="007F32E5" w:rsidRDefault="00E40716" w:rsidP="007F32E5">
      <w:pPr>
        <w:spacing w:after="0" w:line="240" w:lineRule="auto"/>
        <w:jc w:val="both"/>
        <w:rPr>
          <w:rFonts w:ascii="Times New Roman" w:hAnsi="Times New Roman" w:cs="Times New Roman"/>
          <w:b/>
          <w:bCs/>
          <w:sz w:val="23"/>
          <w:szCs w:val="23"/>
        </w:rPr>
        <w:sectPr w:rsidR="00E40716" w:rsidRPr="007F32E5" w:rsidSect="004028DC">
          <w:pgSz w:w="11900" w:h="16840" w:code="9"/>
          <w:pgMar w:top="1440" w:right="1440" w:bottom="1440" w:left="1440" w:header="720" w:footer="720" w:gutter="0"/>
          <w:cols w:space="720"/>
          <w:docGrid w:linePitch="360"/>
        </w:sectPr>
      </w:pPr>
    </w:p>
    <w:p w14:paraId="56768309" w14:textId="3F6BF572" w:rsidR="00E40716" w:rsidRPr="00FF4904" w:rsidRDefault="00AB1075" w:rsidP="005E69AC">
      <w:pPr>
        <w:pStyle w:val="Heading1"/>
        <w:rPr>
          <w:sz w:val="23"/>
          <w:szCs w:val="23"/>
        </w:rPr>
      </w:pPr>
      <w:bookmarkStart w:id="35" w:name="_Toc141127709"/>
      <w:r w:rsidRPr="00FF4904">
        <w:rPr>
          <w:sz w:val="23"/>
          <w:szCs w:val="23"/>
        </w:rPr>
        <w:lastRenderedPageBreak/>
        <w:t>GENDER BASED VIOLENCE REFERRAL PATHWAYS</w:t>
      </w:r>
      <w:bookmarkEnd w:id="35"/>
    </w:p>
    <w:p w14:paraId="47FD7617" w14:textId="77777777" w:rsidR="005E69AC" w:rsidRPr="00FF4904" w:rsidRDefault="005E69AC" w:rsidP="0000255F">
      <w:pPr>
        <w:spacing w:after="0" w:line="240" w:lineRule="auto"/>
        <w:jc w:val="both"/>
        <w:rPr>
          <w:rFonts w:ascii="Times New Roman" w:hAnsi="Times New Roman" w:cs="Times New Roman"/>
          <w:sz w:val="23"/>
          <w:szCs w:val="23"/>
        </w:rPr>
      </w:pPr>
    </w:p>
    <w:p w14:paraId="1B8DCC36" w14:textId="063A148A" w:rsidR="00E40716" w:rsidRPr="00FF4904" w:rsidRDefault="00E40716" w:rsidP="0000255F">
      <w:pPr>
        <w:spacing w:after="0" w:line="240" w:lineRule="auto"/>
        <w:jc w:val="both"/>
        <w:rPr>
          <w:rFonts w:ascii="Times New Roman" w:hAnsi="Times New Roman" w:cs="Times New Roman"/>
          <w:sz w:val="23"/>
          <w:szCs w:val="23"/>
        </w:rPr>
      </w:pPr>
      <w:r w:rsidRPr="00FF4904">
        <w:rPr>
          <w:rFonts w:ascii="Times New Roman" w:hAnsi="Times New Roman" w:cs="Times New Roman"/>
          <w:sz w:val="23"/>
          <w:szCs w:val="23"/>
        </w:rPr>
        <w:t xml:space="preserve">The recommended approach by the World Bank in managing </w:t>
      </w:r>
      <w:r w:rsidR="00B676FA" w:rsidRPr="00FF4904">
        <w:rPr>
          <w:rFonts w:ascii="Times New Roman" w:hAnsi="Times New Roman" w:cs="Times New Roman"/>
          <w:sz w:val="23"/>
          <w:szCs w:val="23"/>
        </w:rPr>
        <w:t>SEA/SH</w:t>
      </w:r>
      <w:r w:rsidR="00AB1075" w:rsidRPr="00FF4904">
        <w:rPr>
          <w:rFonts w:ascii="Times New Roman" w:hAnsi="Times New Roman" w:cs="Times New Roman"/>
          <w:sz w:val="23"/>
          <w:szCs w:val="23"/>
        </w:rPr>
        <w:t xml:space="preserve"> incidents/cases</w:t>
      </w:r>
      <w:r w:rsidRPr="00FF4904">
        <w:rPr>
          <w:rFonts w:ascii="Times New Roman" w:hAnsi="Times New Roman" w:cs="Times New Roman"/>
          <w:sz w:val="23"/>
          <w:szCs w:val="23"/>
        </w:rPr>
        <w:t xml:space="preserve"> is the survival</w:t>
      </w:r>
      <w:r w:rsidR="00727DF5" w:rsidRPr="00FF4904">
        <w:rPr>
          <w:rFonts w:ascii="Times New Roman" w:hAnsi="Times New Roman" w:cs="Times New Roman"/>
          <w:sz w:val="23"/>
          <w:szCs w:val="23"/>
        </w:rPr>
        <w:t>-</w:t>
      </w:r>
      <w:r w:rsidRPr="00FF4904">
        <w:rPr>
          <w:rFonts w:ascii="Times New Roman" w:hAnsi="Times New Roman" w:cs="Times New Roman"/>
          <w:sz w:val="23"/>
          <w:szCs w:val="23"/>
        </w:rPr>
        <w:t>centered approach, therefore the project team ensures that there is sufficient security f</w:t>
      </w:r>
      <w:r w:rsidR="00727DF5" w:rsidRPr="00FF4904">
        <w:rPr>
          <w:rFonts w:ascii="Times New Roman" w:hAnsi="Times New Roman" w:cs="Times New Roman"/>
          <w:sz w:val="23"/>
          <w:szCs w:val="23"/>
        </w:rPr>
        <w:t>o</w:t>
      </w:r>
      <w:r w:rsidRPr="00FF4904">
        <w:rPr>
          <w:rFonts w:ascii="Times New Roman" w:hAnsi="Times New Roman" w:cs="Times New Roman"/>
          <w:sz w:val="23"/>
          <w:szCs w:val="23"/>
        </w:rPr>
        <w:t xml:space="preserve">r the victims once reporting has been done. The survivors are also accorded support in the steps and tools required for reporting until the matter is resolved. </w:t>
      </w:r>
      <w:r w:rsidR="00727DF5" w:rsidRPr="00FF4904">
        <w:rPr>
          <w:rFonts w:ascii="Times New Roman" w:hAnsi="Times New Roman" w:cs="Times New Roman"/>
          <w:sz w:val="23"/>
          <w:szCs w:val="23"/>
        </w:rPr>
        <w:t>A</w:t>
      </w:r>
      <w:r w:rsidRPr="00FF4904">
        <w:rPr>
          <w:rFonts w:ascii="Times New Roman" w:hAnsi="Times New Roman" w:cs="Times New Roman"/>
          <w:sz w:val="23"/>
          <w:szCs w:val="23"/>
        </w:rPr>
        <w:t xml:space="preserve"> referral mechanism is an important tool for effective reporting and management of the case.</w:t>
      </w:r>
    </w:p>
    <w:p w14:paraId="0DA957D8" w14:textId="77777777" w:rsidR="005E69AC" w:rsidRPr="00FF4904" w:rsidRDefault="005E69AC" w:rsidP="0000255F">
      <w:pPr>
        <w:spacing w:after="0" w:line="240" w:lineRule="auto"/>
        <w:jc w:val="both"/>
        <w:rPr>
          <w:rFonts w:ascii="Times New Roman" w:hAnsi="Times New Roman" w:cs="Times New Roman"/>
          <w:sz w:val="23"/>
          <w:szCs w:val="23"/>
        </w:rPr>
      </w:pPr>
    </w:p>
    <w:p w14:paraId="29DFE239" w14:textId="18B58B09" w:rsidR="00E40716" w:rsidRPr="00FF4904" w:rsidRDefault="00F60A76" w:rsidP="00F60A76">
      <w:pPr>
        <w:pStyle w:val="Caption"/>
        <w:spacing w:after="0"/>
        <w:rPr>
          <w:rFonts w:ascii="Times New Roman" w:hAnsi="Times New Roman" w:cs="Times New Roman"/>
          <w:b/>
          <w:bCs/>
          <w:i w:val="0"/>
          <w:iCs w:val="0"/>
          <w:color w:val="000000" w:themeColor="text1"/>
          <w:sz w:val="23"/>
          <w:szCs w:val="23"/>
        </w:rPr>
      </w:pPr>
      <w:r w:rsidRPr="00FF4904">
        <w:rPr>
          <w:rFonts w:ascii="Times New Roman" w:hAnsi="Times New Roman" w:cs="Times New Roman"/>
          <w:b/>
          <w:bCs/>
          <w:i w:val="0"/>
          <w:iCs w:val="0"/>
          <w:color w:val="000000" w:themeColor="text1"/>
          <w:sz w:val="23"/>
          <w:szCs w:val="23"/>
        </w:rPr>
        <w:t xml:space="preserve">Table </w:t>
      </w:r>
      <w:r w:rsidRPr="00FF4904">
        <w:rPr>
          <w:rFonts w:ascii="Times New Roman" w:hAnsi="Times New Roman" w:cs="Times New Roman"/>
          <w:b/>
          <w:bCs/>
          <w:i w:val="0"/>
          <w:iCs w:val="0"/>
          <w:color w:val="000000" w:themeColor="text1"/>
          <w:sz w:val="23"/>
          <w:szCs w:val="23"/>
        </w:rPr>
        <w:fldChar w:fldCharType="begin"/>
      </w:r>
      <w:r w:rsidRPr="00FF4904">
        <w:rPr>
          <w:rFonts w:ascii="Times New Roman" w:hAnsi="Times New Roman" w:cs="Times New Roman"/>
          <w:b/>
          <w:bCs/>
          <w:i w:val="0"/>
          <w:iCs w:val="0"/>
          <w:color w:val="000000" w:themeColor="text1"/>
          <w:sz w:val="23"/>
          <w:szCs w:val="23"/>
        </w:rPr>
        <w:instrText xml:space="preserve"> SEQ Table \* ARABIC </w:instrText>
      </w:r>
      <w:r w:rsidRPr="00FF4904">
        <w:rPr>
          <w:rFonts w:ascii="Times New Roman" w:hAnsi="Times New Roman" w:cs="Times New Roman"/>
          <w:b/>
          <w:bCs/>
          <w:i w:val="0"/>
          <w:iCs w:val="0"/>
          <w:color w:val="000000" w:themeColor="text1"/>
          <w:sz w:val="23"/>
          <w:szCs w:val="23"/>
        </w:rPr>
        <w:fldChar w:fldCharType="separate"/>
      </w:r>
      <w:r w:rsidRPr="00FF4904">
        <w:rPr>
          <w:rFonts w:ascii="Times New Roman" w:hAnsi="Times New Roman" w:cs="Times New Roman"/>
          <w:b/>
          <w:bCs/>
          <w:i w:val="0"/>
          <w:iCs w:val="0"/>
          <w:noProof/>
          <w:color w:val="000000" w:themeColor="text1"/>
          <w:sz w:val="23"/>
          <w:szCs w:val="23"/>
        </w:rPr>
        <w:t>1</w:t>
      </w:r>
      <w:r w:rsidRPr="00FF4904">
        <w:rPr>
          <w:rFonts w:ascii="Times New Roman" w:hAnsi="Times New Roman" w:cs="Times New Roman"/>
          <w:b/>
          <w:bCs/>
          <w:i w:val="0"/>
          <w:iCs w:val="0"/>
          <w:color w:val="000000" w:themeColor="text1"/>
          <w:sz w:val="23"/>
          <w:szCs w:val="23"/>
        </w:rPr>
        <w:fldChar w:fldCharType="end"/>
      </w:r>
      <w:r w:rsidR="00E40716" w:rsidRPr="00FF4904">
        <w:rPr>
          <w:rFonts w:ascii="Times New Roman" w:hAnsi="Times New Roman" w:cs="Times New Roman"/>
          <w:b/>
          <w:bCs/>
          <w:i w:val="0"/>
          <w:iCs w:val="0"/>
          <w:color w:val="000000" w:themeColor="text1"/>
          <w:sz w:val="23"/>
          <w:szCs w:val="23"/>
        </w:rPr>
        <w:t>: Template for a Referral Mechanism</w:t>
      </w:r>
    </w:p>
    <w:tbl>
      <w:tblPr>
        <w:tblStyle w:val="TableGrid"/>
        <w:tblW w:w="0" w:type="auto"/>
        <w:tblInd w:w="-113" w:type="dxa"/>
        <w:tblLook w:val="04A0" w:firstRow="1" w:lastRow="0" w:firstColumn="1" w:lastColumn="0" w:noHBand="0" w:noVBand="1"/>
      </w:tblPr>
      <w:tblGrid>
        <w:gridCol w:w="2091"/>
        <w:gridCol w:w="1245"/>
        <w:gridCol w:w="776"/>
        <w:gridCol w:w="2786"/>
        <w:gridCol w:w="241"/>
        <w:gridCol w:w="1984"/>
      </w:tblGrid>
      <w:tr w:rsidR="00E40716" w:rsidRPr="009B4F53" w14:paraId="6744D3D3" w14:textId="77777777" w:rsidTr="00714DE7">
        <w:tc>
          <w:tcPr>
            <w:tcW w:w="0" w:type="auto"/>
            <w:gridSpan w:val="6"/>
          </w:tcPr>
          <w:p w14:paraId="0CF67DCD" w14:textId="77777777" w:rsidR="00E40716" w:rsidRPr="009B4F53" w:rsidRDefault="00E40716" w:rsidP="0000255F">
            <w:pPr>
              <w:jc w:val="both"/>
              <w:rPr>
                <w:rFonts w:ascii="Times New Roman" w:hAnsi="Times New Roman" w:cs="Times New Roman"/>
              </w:rPr>
            </w:pPr>
            <w:r w:rsidRPr="009B4F53">
              <w:rPr>
                <w:rFonts w:ascii="Times New Roman" w:hAnsi="Times New Roman" w:cs="Times New Roman"/>
                <w:b/>
              </w:rPr>
              <w:t>Telling Someone and seeking help (Reporting)</w:t>
            </w:r>
          </w:p>
        </w:tc>
      </w:tr>
      <w:tr w:rsidR="000F1C24" w:rsidRPr="009B4F53" w14:paraId="1DA74F8D" w14:textId="77777777" w:rsidTr="00714DE7">
        <w:trPr>
          <w:trHeight w:val="926"/>
        </w:trPr>
        <w:tc>
          <w:tcPr>
            <w:tcW w:w="0" w:type="auto"/>
            <w:gridSpan w:val="4"/>
          </w:tcPr>
          <w:p w14:paraId="567F21E3" w14:textId="3B6EC2AA" w:rsidR="00E40716" w:rsidRPr="009B4F53" w:rsidRDefault="00E40716" w:rsidP="0000255F">
            <w:pPr>
              <w:jc w:val="both"/>
              <w:rPr>
                <w:rFonts w:ascii="Times New Roman" w:hAnsi="Times New Roman" w:cs="Times New Roman"/>
              </w:rPr>
            </w:pPr>
            <w:r w:rsidRPr="009B4F53">
              <w:rPr>
                <w:rFonts w:ascii="Times New Roman" w:hAnsi="Times New Roman" w:cs="Times New Roman"/>
              </w:rPr>
              <w:t xml:space="preserve">Survivor/client tells colleagues, </w:t>
            </w:r>
            <w:r w:rsidR="008A6A1A" w:rsidRPr="009B4F53">
              <w:rPr>
                <w:rFonts w:ascii="Times New Roman" w:hAnsi="Times New Roman" w:cs="Times New Roman"/>
              </w:rPr>
              <w:t>safeguards specialists, h</w:t>
            </w:r>
            <w:r w:rsidRPr="009B4F53">
              <w:rPr>
                <w:rFonts w:ascii="Times New Roman" w:hAnsi="Times New Roman" w:cs="Times New Roman"/>
              </w:rPr>
              <w:t>uman Resource officer</w:t>
            </w:r>
            <w:r w:rsidR="00727DF5" w:rsidRPr="009B4F53">
              <w:rPr>
                <w:rFonts w:ascii="Times New Roman" w:hAnsi="Times New Roman" w:cs="Times New Roman"/>
              </w:rPr>
              <w:t>s</w:t>
            </w:r>
            <w:r w:rsidRPr="009B4F53">
              <w:rPr>
                <w:rFonts w:ascii="Times New Roman" w:hAnsi="Times New Roman" w:cs="Times New Roman"/>
              </w:rPr>
              <w:t>, family, friend</w:t>
            </w:r>
            <w:r w:rsidR="00727DF5" w:rsidRPr="009B4F53">
              <w:rPr>
                <w:rFonts w:ascii="Times New Roman" w:hAnsi="Times New Roman" w:cs="Times New Roman"/>
              </w:rPr>
              <w:t>s</w:t>
            </w:r>
            <w:r w:rsidRPr="009B4F53">
              <w:rPr>
                <w:rFonts w:ascii="Times New Roman" w:hAnsi="Times New Roman" w:cs="Times New Roman"/>
              </w:rPr>
              <w:t>, community member</w:t>
            </w:r>
            <w:r w:rsidR="00727DF5" w:rsidRPr="009B4F53">
              <w:rPr>
                <w:rFonts w:ascii="Times New Roman" w:hAnsi="Times New Roman" w:cs="Times New Roman"/>
              </w:rPr>
              <w:t>s</w:t>
            </w:r>
            <w:r w:rsidRPr="009B4F53">
              <w:rPr>
                <w:rFonts w:ascii="Times New Roman" w:hAnsi="Times New Roman" w:cs="Times New Roman"/>
              </w:rPr>
              <w:t xml:space="preserve"> </w:t>
            </w:r>
            <w:r w:rsidR="00BD4639" w:rsidRPr="009B4F53">
              <w:rPr>
                <w:rFonts w:ascii="Times New Roman" w:hAnsi="Times New Roman" w:cs="Times New Roman"/>
              </w:rPr>
              <w:t>or</w:t>
            </w:r>
            <w:r w:rsidRPr="009B4F53">
              <w:rPr>
                <w:rFonts w:ascii="Times New Roman" w:hAnsi="Times New Roman" w:cs="Times New Roman"/>
              </w:rPr>
              <w:t xml:space="preserve"> service provider</w:t>
            </w:r>
            <w:r w:rsidR="00727DF5" w:rsidRPr="009B4F53">
              <w:rPr>
                <w:rFonts w:ascii="Times New Roman" w:hAnsi="Times New Roman" w:cs="Times New Roman"/>
              </w:rPr>
              <w:t>s</w:t>
            </w:r>
            <w:r w:rsidRPr="009B4F53">
              <w:rPr>
                <w:rFonts w:ascii="Times New Roman" w:hAnsi="Times New Roman" w:cs="Times New Roman"/>
              </w:rPr>
              <w:t>.  That person accompanies the survivor to the health of psychosocial entry point.</w:t>
            </w:r>
          </w:p>
          <w:p w14:paraId="6643F24E" w14:textId="77777777" w:rsidR="00E40716" w:rsidRPr="009B4F53" w:rsidRDefault="00E40716" w:rsidP="0000255F">
            <w:pPr>
              <w:jc w:val="both"/>
              <w:rPr>
                <w:rFonts w:ascii="Times New Roman" w:hAnsi="Times New Roman" w:cs="Times New Roman"/>
              </w:rPr>
            </w:pPr>
          </w:p>
        </w:tc>
        <w:tc>
          <w:tcPr>
            <w:tcW w:w="0" w:type="auto"/>
            <w:gridSpan w:val="2"/>
          </w:tcPr>
          <w:p w14:paraId="57B3894E" w14:textId="77777777" w:rsidR="00E40716" w:rsidRPr="009B4F53" w:rsidRDefault="00E40716" w:rsidP="0000255F">
            <w:pPr>
              <w:jc w:val="both"/>
              <w:rPr>
                <w:rFonts w:ascii="Times New Roman" w:hAnsi="Times New Roman" w:cs="Times New Roman"/>
              </w:rPr>
            </w:pPr>
            <w:r w:rsidRPr="009B4F53">
              <w:rPr>
                <w:rFonts w:ascii="Times New Roman" w:hAnsi="Times New Roman" w:cs="Times New Roman"/>
              </w:rPr>
              <w:t>Survivor/client self-reports to any service provider</w:t>
            </w:r>
          </w:p>
        </w:tc>
      </w:tr>
      <w:tr w:rsidR="00E40716" w:rsidRPr="009B4F53" w14:paraId="7C0B4247" w14:textId="77777777" w:rsidTr="00714DE7">
        <w:tc>
          <w:tcPr>
            <w:tcW w:w="0" w:type="auto"/>
            <w:gridSpan w:val="6"/>
          </w:tcPr>
          <w:p w14:paraId="36A3A260"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IMMEDIATE RESPONSE</w:t>
            </w:r>
          </w:p>
          <w:p w14:paraId="3E9901A9" w14:textId="53D4AC4C" w:rsidR="00E40716" w:rsidRPr="009B4F53" w:rsidRDefault="00E40716" w:rsidP="0000255F">
            <w:pPr>
              <w:jc w:val="both"/>
              <w:rPr>
                <w:rFonts w:ascii="Times New Roman" w:hAnsi="Times New Roman" w:cs="Times New Roman"/>
              </w:rPr>
            </w:pPr>
            <w:r w:rsidRPr="009B4F53">
              <w:rPr>
                <w:rFonts w:ascii="Times New Roman" w:hAnsi="Times New Roman" w:cs="Times New Roman"/>
              </w:rPr>
              <w:t xml:space="preserve">The service provider must provide a safe, caring environment and respect the confidentiality and wishes of the survivor/client, learn the immediate needs and give honest and clear information about the services available. If agreed and requested by </w:t>
            </w:r>
            <w:r w:rsidR="00727DF5" w:rsidRPr="009B4F53">
              <w:rPr>
                <w:rFonts w:ascii="Times New Roman" w:hAnsi="Times New Roman" w:cs="Times New Roman"/>
              </w:rPr>
              <w:t xml:space="preserve">the </w:t>
            </w:r>
            <w:r w:rsidRPr="009B4F53">
              <w:rPr>
                <w:rFonts w:ascii="Times New Roman" w:hAnsi="Times New Roman" w:cs="Times New Roman"/>
              </w:rPr>
              <w:t xml:space="preserve">survivor/client, obtain informed consent and make referrals, </w:t>
            </w:r>
            <w:r w:rsidR="00727DF5" w:rsidRPr="009B4F53">
              <w:rPr>
                <w:rFonts w:ascii="Times New Roman" w:hAnsi="Times New Roman" w:cs="Times New Roman"/>
              </w:rPr>
              <w:t xml:space="preserve">and </w:t>
            </w:r>
            <w:r w:rsidRPr="009B4F53">
              <w:rPr>
                <w:rFonts w:ascii="Times New Roman" w:hAnsi="Times New Roman" w:cs="Times New Roman"/>
              </w:rPr>
              <w:t>accompany the survivor/client to assist her/him in accessing services.</w:t>
            </w:r>
          </w:p>
          <w:p w14:paraId="0EE1807F" w14:textId="77777777" w:rsidR="00E40716" w:rsidRPr="009B4F53" w:rsidRDefault="00E40716" w:rsidP="0000255F">
            <w:pPr>
              <w:jc w:val="both"/>
              <w:rPr>
                <w:rFonts w:ascii="Times New Roman" w:hAnsi="Times New Roman" w:cs="Times New Roman"/>
              </w:rPr>
            </w:pPr>
          </w:p>
        </w:tc>
      </w:tr>
      <w:tr w:rsidR="00FD2AE4" w:rsidRPr="009B4F53" w14:paraId="4EC40FB1" w14:textId="77777777" w:rsidTr="00714DE7">
        <w:tc>
          <w:tcPr>
            <w:tcW w:w="3317" w:type="dxa"/>
            <w:gridSpan w:val="2"/>
          </w:tcPr>
          <w:p w14:paraId="56FA9C32"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 xml:space="preserve">Medical/health care entry point- </w:t>
            </w:r>
          </w:p>
          <w:p w14:paraId="6747147C" w14:textId="604DAC1A" w:rsidR="00E40716" w:rsidRPr="009B4F53" w:rsidRDefault="00B676FA" w:rsidP="0000255F">
            <w:pPr>
              <w:jc w:val="both"/>
              <w:rPr>
                <w:rFonts w:ascii="Times New Roman" w:hAnsi="Times New Roman" w:cs="Times New Roman"/>
              </w:rPr>
            </w:pPr>
            <w:r w:rsidRPr="009B4F53">
              <w:rPr>
                <w:rFonts w:ascii="Times New Roman" w:hAnsi="Times New Roman" w:cs="Times New Roman"/>
                <w:b/>
              </w:rPr>
              <w:t>SEA/SH</w:t>
            </w:r>
          </w:p>
          <w:p w14:paraId="2CE9CF96" w14:textId="77777777" w:rsidR="00E40716" w:rsidRPr="009B4F53" w:rsidRDefault="00E40716" w:rsidP="0000255F">
            <w:pPr>
              <w:jc w:val="both"/>
              <w:rPr>
                <w:rFonts w:ascii="Times New Roman" w:hAnsi="Times New Roman" w:cs="Times New Roman"/>
              </w:rPr>
            </w:pPr>
          </w:p>
        </w:tc>
        <w:tc>
          <w:tcPr>
            <w:tcW w:w="3335" w:type="dxa"/>
            <w:gridSpan w:val="3"/>
          </w:tcPr>
          <w:p w14:paraId="20CD6E9B" w14:textId="57E007DF" w:rsidR="00E40716" w:rsidRPr="009B4F53" w:rsidRDefault="00E40716" w:rsidP="000B06B4">
            <w:pPr>
              <w:jc w:val="both"/>
              <w:rPr>
                <w:rFonts w:ascii="Times New Roman" w:hAnsi="Times New Roman" w:cs="Times New Roman"/>
                <w:b/>
              </w:rPr>
            </w:pPr>
            <w:r w:rsidRPr="009B4F53">
              <w:rPr>
                <w:rFonts w:ascii="Times New Roman" w:hAnsi="Times New Roman" w:cs="Times New Roman"/>
                <w:b/>
              </w:rPr>
              <w:t xml:space="preserve">Psychosocial support entry point -  </w:t>
            </w:r>
            <w:r w:rsidR="00B676FA" w:rsidRPr="009B4F53">
              <w:rPr>
                <w:rFonts w:ascii="Times New Roman" w:hAnsi="Times New Roman" w:cs="Times New Roman"/>
                <w:b/>
              </w:rPr>
              <w:t>SEA/SH</w:t>
            </w:r>
            <w:r w:rsidR="000B06B4" w:rsidRPr="009B4F53">
              <w:rPr>
                <w:rFonts w:ascii="Times New Roman" w:hAnsi="Times New Roman" w:cs="Times New Roman"/>
                <w:b/>
              </w:rPr>
              <w:t xml:space="preserve"> </w:t>
            </w:r>
            <w:r w:rsidRPr="009B4F53">
              <w:rPr>
                <w:rFonts w:ascii="Times New Roman" w:hAnsi="Times New Roman" w:cs="Times New Roman"/>
                <w:b/>
              </w:rPr>
              <w:t>Adult</w:t>
            </w:r>
          </w:p>
        </w:tc>
        <w:tc>
          <w:tcPr>
            <w:tcW w:w="1998" w:type="dxa"/>
          </w:tcPr>
          <w:p w14:paraId="101C38E1" w14:textId="59F6E407" w:rsidR="000B06B4" w:rsidRPr="009B4F53" w:rsidRDefault="00E40716" w:rsidP="000B06B4">
            <w:pPr>
              <w:jc w:val="both"/>
              <w:rPr>
                <w:rFonts w:ascii="Times New Roman" w:hAnsi="Times New Roman" w:cs="Times New Roman"/>
              </w:rPr>
            </w:pPr>
            <w:r w:rsidRPr="009B4F53">
              <w:rPr>
                <w:rFonts w:ascii="Times New Roman" w:hAnsi="Times New Roman" w:cs="Times New Roman"/>
                <w:b/>
              </w:rPr>
              <w:t>Psychosocial support entry point</w:t>
            </w:r>
            <w:r w:rsidR="00B676FA" w:rsidRPr="009B4F53">
              <w:rPr>
                <w:rFonts w:ascii="Times New Roman" w:hAnsi="Times New Roman" w:cs="Times New Roman"/>
                <w:b/>
              </w:rPr>
              <w:t xml:space="preserve"> SEA/SH</w:t>
            </w:r>
          </w:p>
          <w:p w14:paraId="0419043B" w14:textId="25BEB7AD" w:rsidR="00E40716" w:rsidRPr="009B4F53" w:rsidRDefault="00E40716" w:rsidP="0000255F">
            <w:pPr>
              <w:jc w:val="both"/>
              <w:rPr>
                <w:rFonts w:ascii="Times New Roman" w:hAnsi="Times New Roman" w:cs="Times New Roman"/>
              </w:rPr>
            </w:pPr>
            <w:r w:rsidRPr="009B4F53">
              <w:rPr>
                <w:rFonts w:ascii="Times New Roman" w:hAnsi="Times New Roman" w:cs="Times New Roman"/>
                <w:b/>
              </w:rPr>
              <w:t>Child – Under 18</w:t>
            </w:r>
          </w:p>
        </w:tc>
      </w:tr>
      <w:tr w:rsidR="00FD2AE4" w:rsidRPr="009B4F53" w14:paraId="7CDA99C0" w14:textId="77777777" w:rsidTr="00714DE7">
        <w:tc>
          <w:tcPr>
            <w:tcW w:w="3317" w:type="dxa"/>
            <w:gridSpan w:val="2"/>
          </w:tcPr>
          <w:p w14:paraId="529AE559" w14:textId="74449238" w:rsidR="00E40716" w:rsidRPr="009B4F53" w:rsidRDefault="00E40716" w:rsidP="0000255F">
            <w:pPr>
              <w:jc w:val="both"/>
              <w:rPr>
                <w:rFonts w:ascii="Times New Roman" w:hAnsi="Times New Roman" w:cs="Times New Roman"/>
              </w:rPr>
            </w:pPr>
            <w:r w:rsidRPr="009B4F53">
              <w:rPr>
                <w:rFonts w:ascii="Times New Roman" w:hAnsi="Times New Roman" w:cs="Times New Roman"/>
              </w:rPr>
              <w:t xml:space="preserve">List of health facilities or other entities offering </w:t>
            </w:r>
            <w:r w:rsidR="00B676FA" w:rsidRPr="009B4F53">
              <w:rPr>
                <w:rFonts w:ascii="Times New Roman" w:hAnsi="Times New Roman" w:cs="Times New Roman"/>
              </w:rPr>
              <w:t>SEA/SH</w:t>
            </w:r>
            <w:r w:rsidR="00FD2AE4" w:rsidRPr="009B4F53">
              <w:rPr>
                <w:rFonts w:ascii="Times New Roman" w:hAnsi="Times New Roman" w:cs="Times New Roman"/>
              </w:rPr>
              <w:t xml:space="preserve"> </w:t>
            </w:r>
            <w:r w:rsidRPr="009B4F53">
              <w:rPr>
                <w:rFonts w:ascii="Times New Roman" w:hAnsi="Times New Roman" w:cs="Times New Roman"/>
              </w:rPr>
              <w:t>care and support at the district level</w:t>
            </w:r>
          </w:p>
        </w:tc>
        <w:tc>
          <w:tcPr>
            <w:tcW w:w="3335" w:type="dxa"/>
            <w:gridSpan w:val="3"/>
          </w:tcPr>
          <w:p w14:paraId="1B5D5E54" w14:textId="77777777" w:rsidR="00E40716" w:rsidRPr="009B4F53" w:rsidRDefault="00E40716" w:rsidP="0000255F">
            <w:pPr>
              <w:jc w:val="both"/>
              <w:rPr>
                <w:rFonts w:ascii="Times New Roman" w:hAnsi="Times New Roman" w:cs="Times New Roman"/>
              </w:rPr>
            </w:pPr>
            <w:r w:rsidRPr="009B4F53">
              <w:rPr>
                <w:rFonts w:ascii="Times New Roman" w:hAnsi="Times New Roman" w:cs="Times New Roman"/>
              </w:rPr>
              <w:t>Agencies (list agencies operating in the district)</w:t>
            </w:r>
          </w:p>
        </w:tc>
        <w:tc>
          <w:tcPr>
            <w:tcW w:w="1998" w:type="dxa"/>
          </w:tcPr>
          <w:p w14:paraId="67F86B92" w14:textId="20E2D1F4" w:rsidR="00E40716" w:rsidRPr="009B4F53" w:rsidRDefault="00E40716" w:rsidP="0000255F">
            <w:pPr>
              <w:jc w:val="both"/>
              <w:rPr>
                <w:rFonts w:ascii="Times New Roman" w:hAnsi="Times New Roman" w:cs="Times New Roman"/>
              </w:rPr>
            </w:pPr>
            <w:r w:rsidRPr="009B4F53">
              <w:rPr>
                <w:rFonts w:ascii="Times New Roman" w:hAnsi="Times New Roman" w:cs="Times New Roman"/>
              </w:rPr>
              <w:t>The Children</w:t>
            </w:r>
            <w:r w:rsidR="00727DF5" w:rsidRPr="009B4F53">
              <w:rPr>
                <w:rFonts w:ascii="Times New Roman" w:hAnsi="Times New Roman" w:cs="Times New Roman"/>
              </w:rPr>
              <w:t>'s</w:t>
            </w:r>
            <w:r w:rsidRPr="009B4F53">
              <w:rPr>
                <w:rFonts w:ascii="Times New Roman" w:hAnsi="Times New Roman" w:cs="Times New Roman"/>
              </w:rPr>
              <w:t xml:space="preserve"> Services and other organizations involved in child protection.</w:t>
            </w:r>
          </w:p>
          <w:p w14:paraId="40439C93" w14:textId="77777777" w:rsidR="00E40716" w:rsidRPr="009B4F53" w:rsidRDefault="00E40716" w:rsidP="0000255F">
            <w:pPr>
              <w:jc w:val="both"/>
              <w:rPr>
                <w:rFonts w:ascii="Times New Roman" w:hAnsi="Times New Roman" w:cs="Times New Roman"/>
              </w:rPr>
            </w:pPr>
          </w:p>
        </w:tc>
      </w:tr>
      <w:tr w:rsidR="00E40716" w:rsidRPr="009B4F53" w14:paraId="7DAF9F8A" w14:textId="77777777" w:rsidTr="00714DE7">
        <w:tc>
          <w:tcPr>
            <w:tcW w:w="8650" w:type="dxa"/>
            <w:gridSpan w:val="6"/>
          </w:tcPr>
          <w:p w14:paraId="69495F98" w14:textId="0280516B" w:rsidR="00E40716" w:rsidRPr="009B4F53" w:rsidRDefault="00E40716" w:rsidP="0000255F">
            <w:pPr>
              <w:jc w:val="both"/>
              <w:rPr>
                <w:rFonts w:ascii="Times New Roman" w:hAnsi="Times New Roman" w:cs="Times New Roman"/>
              </w:rPr>
            </w:pPr>
            <w:r w:rsidRPr="009B4F53">
              <w:rPr>
                <w:rFonts w:ascii="Times New Roman" w:hAnsi="Times New Roman" w:cs="Times New Roman"/>
              </w:rPr>
              <w:t xml:space="preserve">If the survivor/client wants to pursue police/legal action or if there are immediate safety and security risks, for example, if the survivor/client is a minor (under 16 years), refer and accompany </w:t>
            </w:r>
            <w:r w:rsidR="00727DF5" w:rsidRPr="009B4F53">
              <w:rPr>
                <w:rFonts w:ascii="Times New Roman" w:hAnsi="Times New Roman" w:cs="Times New Roman"/>
              </w:rPr>
              <w:t xml:space="preserve">the </w:t>
            </w:r>
            <w:r w:rsidRPr="009B4F53">
              <w:rPr>
                <w:rFonts w:ascii="Times New Roman" w:hAnsi="Times New Roman" w:cs="Times New Roman"/>
              </w:rPr>
              <w:t>survivor to the police/security or the legal assistance for information.</w:t>
            </w:r>
          </w:p>
          <w:p w14:paraId="3EE54C5F" w14:textId="77777777" w:rsidR="00E40716" w:rsidRPr="009B4F53" w:rsidRDefault="00E40716" w:rsidP="0000255F">
            <w:pPr>
              <w:jc w:val="both"/>
              <w:rPr>
                <w:rFonts w:ascii="Times New Roman" w:hAnsi="Times New Roman" w:cs="Times New Roman"/>
              </w:rPr>
            </w:pPr>
          </w:p>
        </w:tc>
      </w:tr>
      <w:tr w:rsidR="000F1C24" w:rsidRPr="009B4F53" w14:paraId="0A504456" w14:textId="77777777" w:rsidTr="00714DE7">
        <w:tc>
          <w:tcPr>
            <w:tcW w:w="6287" w:type="dxa"/>
            <w:gridSpan w:val="4"/>
          </w:tcPr>
          <w:p w14:paraId="558878D4"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Safety and Security</w:t>
            </w:r>
          </w:p>
        </w:tc>
        <w:tc>
          <w:tcPr>
            <w:tcW w:w="2363" w:type="dxa"/>
            <w:gridSpan w:val="2"/>
          </w:tcPr>
          <w:p w14:paraId="6F90350E"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Legal Assistance Counsellors</w:t>
            </w:r>
          </w:p>
        </w:tc>
      </w:tr>
      <w:tr w:rsidR="00E40716" w:rsidRPr="009B4F53" w14:paraId="497BD76A" w14:textId="77777777" w:rsidTr="00714DE7">
        <w:tc>
          <w:tcPr>
            <w:tcW w:w="8650" w:type="dxa"/>
            <w:gridSpan w:val="6"/>
          </w:tcPr>
          <w:p w14:paraId="445A6099"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AFTER IMMEDIATE RESPONSE, FOLLOW-UP AND OTHER SERVICES</w:t>
            </w:r>
          </w:p>
          <w:p w14:paraId="5A38A0C0" w14:textId="77777777" w:rsidR="00E40716" w:rsidRPr="009B4F53" w:rsidRDefault="00E40716" w:rsidP="0000255F">
            <w:pPr>
              <w:jc w:val="both"/>
              <w:rPr>
                <w:rFonts w:ascii="Times New Roman" w:hAnsi="Times New Roman" w:cs="Times New Roman"/>
              </w:rPr>
            </w:pPr>
            <w:r w:rsidRPr="009B4F53">
              <w:rPr>
                <w:rFonts w:ascii="Times New Roman" w:hAnsi="Times New Roman" w:cs="Times New Roman"/>
              </w:rPr>
              <w:t>Over time and based on survivor’s/ client’s choice can include any of the following</w:t>
            </w:r>
          </w:p>
        </w:tc>
      </w:tr>
      <w:tr w:rsidR="00B676FA" w:rsidRPr="009B4F53" w14:paraId="492F4B57" w14:textId="77777777" w:rsidTr="00714DE7">
        <w:tc>
          <w:tcPr>
            <w:tcW w:w="2030" w:type="dxa"/>
          </w:tcPr>
          <w:p w14:paraId="2F03EC67"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Healthcare</w:t>
            </w:r>
          </w:p>
        </w:tc>
        <w:tc>
          <w:tcPr>
            <w:tcW w:w="1903" w:type="dxa"/>
            <w:gridSpan w:val="2"/>
          </w:tcPr>
          <w:p w14:paraId="4490FEAA"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Psychosocial</w:t>
            </w:r>
          </w:p>
          <w:p w14:paraId="09869208"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 xml:space="preserve">Services/Case </w:t>
            </w:r>
          </w:p>
          <w:p w14:paraId="0A9D0152"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Management</w:t>
            </w:r>
          </w:p>
        </w:tc>
        <w:tc>
          <w:tcPr>
            <w:tcW w:w="2719" w:type="dxa"/>
            <w:gridSpan w:val="2"/>
          </w:tcPr>
          <w:p w14:paraId="4448540C"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Protection, Security and justice actors</w:t>
            </w:r>
          </w:p>
        </w:tc>
        <w:tc>
          <w:tcPr>
            <w:tcW w:w="1998" w:type="dxa"/>
          </w:tcPr>
          <w:p w14:paraId="25CD1F1C"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Basic needs – Children’s services, safe shelter</w:t>
            </w:r>
          </w:p>
        </w:tc>
      </w:tr>
      <w:tr w:rsidR="00B676FA" w:rsidRPr="009B4F53" w14:paraId="3389373F" w14:textId="77777777" w:rsidTr="00714DE7">
        <w:tc>
          <w:tcPr>
            <w:tcW w:w="2030" w:type="dxa"/>
          </w:tcPr>
          <w:p w14:paraId="366A1E19" w14:textId="16DEAE21" w:rsidR="00E40716" w:rsidRPr="009B4F53" w:rsidRDefault="00E40716" w:rsidP="0000255F">
            <w:pPr>
              <w:jc w:val="both"/>
              <w:rPr>
                <w:rFonts w:ascii="Times New Roman" w:hAnsi="Times New Roman" w:cs="Times New Roman"/>
              </w:rPr>
            </w:pPr>
            <w:r w:rsidRPr="009B4F53">
              <w:rPr>
                <w:rFonts w:ascii="Times New Roman" w:hAnsi="Times New Roman" w:cs="Times New Roman"/>
              </w:rPr>
              <w:t xml:space="preserve">Refer to facilities identified as able to handle </w:t>
            </w:r>
            <w:r w:rsidR="00B676FA" w:rsidRPr="009B4F53">
              <w:rPr>
                <w:rFonts w:ascii="Times New Roman" w:hAnsi="Times New Roman" w:cs="Times New Roman"/>
              </w:rPr>
              <w:t>SEA/SH</w:t>
            </w:r>
            <w:r w:rsidRPr="009B4F53">
              <w:rPr>
                <w:rFonts w:ascii="Times New Roman" w:hAnsi="Times New Roman" w:cs="Times New Roman"/>
              </w:rPr>
              <w:t xml:space="preserve"> cases (each County has facilities that manage </w:t>
            </w:r>
            <w:r w:rsidR="00B676FA" w:rsidRPr="009B4F53">
              <w:rPr>
                <w:rFonts w:ascii="Times New Roman" w:hAnsi="Times New Roman" w:cs="Times New Roman"/>
              </w:rPr>
              <w:t>SEA/SH</w:t>
            </w:r>
            <w:r w:rsidR="00FD2AE4" w:rsidRPr="009B4F53">
              <w:rPr>
                <w:rFonts w:ascii="Times New Roman" w:hAnsi="Times New Roman" w:cs="Times New Roman"/>
              </w:rPr>
              <w:t>.</w:t>
            </w:r>
          </w:p>
        </w:tc>
        <w:tc>
          <w:tcPr>
            <w:tcW w:w="1903" w:type="dxa"/>
            <w:gridSpan w:val="2"/>
          </w:tcPr>
          <w:p w14:paraId="20118897" w14:textId="77777777" w:rsidR="00E40716" w:rsidRPr="009B4F53" w:rsidRDefault="00E40716" w:rsidP="0000255F">
            <w:pPr>
              <w:jc w:val="both"/>
              <w:rPr>
                <w:rFonts w:ascii="Times New Roman" w:hAnsi="Times New Roman" w:cs="Times New Roman"/>
              </w:rPr>
            </w:pPr>
            <w:r w:rsidRPr="009B4F53">
              <w:rPr>
                <w:rFonts w:ascii="Times New Roman" w:hAnsi="Times New Roman" w:cs="Times New Roman"/>
              </w:rPr>
              <w:t>This could be accessed at health facilities or through partners (CSOs, CBO of FBOs)</w:t>
            </w:r>
          </w:p>
        </w:tc>
        <w:tc>
          <w:tcPr>
            <w:tcW w:w="2719" w:type="dxa"/>
            <w:gridSpan w:val="2"/>
          </w:tcPr>
          <w:p w14:paraId="5BB1C4B9" w14:textId="77777777" w:rsidR="00E40716" w:rsidRPr="009B4F53" w:rsidRDefault="00E40716" w:rsidP="0000255F">
            <w:pPr>
              <w:jc w:val="both"/>
              <w:rPr>
                <w:rFonts w:ascii="Times New Roman" w:hAnsi="Times New Roman" w:cs="Times New Roman"/>
              </w:rPr>
            </w:pPr>
            <w:r w:rsidRPr="009B4F53">
              <w:rPr>
                <w:rFonts w:ascii="Times New Roman" w:hAnsi="Times New Roman" w:cs="Times New Roman"/>
                <w:b/>
              </w:rPr>
              <w:t>Agency name</w:t>
            </w:r>
            <w:r w:rsidRPr="009B4F53">
              <w:rPr>
                <w:rFonts w:ascii="Times New Roman" w:hAnsi="Times New Roman" w:cs="Times New Roman"/>
              </w:rPr>
              <w:t>: The Mounted Police, Ministry of Labor and Social Protection, National Gender Commission.</w:t>
            </w:r>
          </w:p>
          <w:p w14:paraId="4DD4CC11" w14:textId="77777777" w:rsidR="00E40716" w:rsidRPr="009B4F53" w:rsidRDefault="00E40716" w:rsidP="0000255F">
            <w:pPr>
              <w:jc w:val="both"/>
              <w:rPr>
                <w:rFonts w:ascii="Times New Roman" w:hAnsi="Times New Roman" w:cs="Times New Roman"/>
              </w:rPr>
            </w:pPr>
          </w:p>
          <w:p w14:paraId="77A5805D"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SERVICES:</w:t>
            </w:r>
          </w:p>
          <w:p w14:paraId="233A67F9" w14:textId="77777777" w:rsidR="00E40716" w:rsidRPr="009B4F53" w:rsidRDefault="00E40716" w:rsidP="00971226">
            <w:pPr>
              <w:numPr>
                <w:ilvl w:val="0"/>
                <w:numId w:val="6"/>
              </w:numPr>
              <w:jc w:val="both"/>
              <w:rPr>
                <w:rFonts w:ascii="Times New Roman" w:hAnsi="Times New Roman" w:cs="Times New Roman"/>
              </w:rPr>
            </w:pPr>
            <w:r w:rsidRPr="009B4F53">
              <w:rPr>
                <w:rFonts w:ascii="Times New Roman" w:hAnsi="Times New Roman" w:cs="Times New Roman"/>
              </w:rPr>
              <w:t>Arrest perpetrator –police.</w:t>
            </w:r>
          </w:p>
          <w:p w14:paraId="12B37C6C" w14:textId="77777777" w:rsidR="00E40716" w:rsidRPr="009B4F53" w:rsidRDefault="00E40716" w:rsidP="00971226">
            <w:pPr>
              <w:numPr>
                <w:ilvl w:val="0"/>
                <w:numId w:val="6"/>
              </w:numPr>
              <w:jc w:val="both"/>
              <w:rPr>
                <w:rFonts w:ascii="Times New Roman" w:hAnsi="Times New Roman" w:cs="Times New Roman"/>
              </w:rPr>
            </w:pPr>
            <w:r w:rsidRPr="009B4F53">
              <w:rPr>
                <w:rFonts w:ascii="Times New Roman" w:hAnsi="Times New Roman" w:cs="Times New Roman"/>
              </w:rPr>
              <w:t>Gather evidence and complete file for case.</w:t>
            </w:r>
          </w:p>
          <w:p w14:paraId="0AB90139" w14:textId="77777777" w:rsidR="00E40716" w:rsidRPr="009B4F53" w:rsidRDefault="00E40716" w:rsidP="00971226">
            <w:pPr>
              <w:numPr>
                <w:ilvl w:val="0"/>
                <w:numId w:val="6"/>
              </w:numPr>
              <w:jc w:val="both"/>
              <w:rPr>
                <w:rFonts w:ascii="Times New Roman" w:hAnsi="Times New Roman" w:cs="Times New Roman"/>
              </w:rPr>
            </w:pPr>
            <w:r w:rsidRPr="009B4F53">
              <w:rPr>
                <w:rFonts w:ascii="Times New Roman" w:hAnsi="Times New Roman" w:cs="Times New Roman"/>
              </w:rPr>
              <w:lastRenderedPageBreak/>
              <w:t>Inform survivor/client and witnesses on court hearing.</w:t>
            </w:r>
          </w:p>
          <w:p w14:paraId="76708DD8" w14:textId="77777777" w:rsidR="00E40716" w:rsidRPr="009B4F53" w:rsidRDefault="00E40716" w:rsidP="00971226">
            <w:pPr>
              <w:numPr>
                <w:ilvl w:val="0"/>
                <w:numId w:val="6"/>
              </w:numPr>
              <w:jc w:val="both"/>
              <w:rPr>
                <w:rFonts w:ascii="Times New Roman" w:hAnsi="Times New Roman" w:cs="Times New Roman"/>
              </w:rPr>
            </w:pPr>
            <w:r w:rsidRPr="009B4F53">
              <w:rPr>
                <w:rFonts w:ascii="Times New Roman" w:hAnsi="Times New Roman" w:cs="Times New Roman"/>
              </w:rPr>
              <w:t>Provide physical protection/safe shelter</w:t>
            </w:r>
          </w:p>
          <w:p w14:paraId="56FE82C4" w14:textId="77777777" w:rsidR="00E40716" w:rsidRPr="009B4F53" w:rsidRDefault="00E40716" w:rsidP="00971226">
            <w:pPr>
              <w:numPr>
                <w:ilvl w:val="0"/>
                <w:numId w:val="6"/>
              </w:numPr>
              <w:jc w:val="both"/>
              <w:rPr>
                <w:rFonts w:ascii="Times New Roman" w:hAnsi="Times New Roman" w:cs="Times New Roman"/>
              </w:rPr>
            </w:pPr>
            <w:r w:rsidRPr="009B4F53">
              <w:rPr>
                <w:rFonts w:ascii="Times New Roman" w:hAnsi="Times New Roman" w:cs="Times New Roman"/>
              </w:rPr>
              <w:t>Provide legal counseling.</w:t>
            </w:r>
          </w:p>
          <w:p w14:paraId="7CEB773C" w14:textId="77777777" w:rsidR="00E40716" w:rsidRPr="009B4F53" w:rsidRDefault="00E40716" w:rsidP="00971226">
            <w:pPr>
              <w:numPr>
                <w:ilvl w:val="0"/>
                <w:numId w:val="6"/>
              </w:numPr>
              <w:jc w:val="both"/>
              <w:rPr>
                <w:rFonts w:ascii="Times New Roman" w:hAnsi="Times New Roman" w:cs="Times New Roman"/>
              </w:rPr>
            </w:pPr>
            <w:r w:rsidRPr="009B4F53">
              <w:rPr>
                <w:rFonts w:ascii="Times New Roman" w:hAnsi="Times New Roman" w:cs="Times New Roman"/>
              </w:rPr>
              <w:t>Offer transport, accommodation and meals for the survivor and witnesses and family members to attend court.</w:t>
            </w:r>
          </w:p>
        </w:tc>
        <w:tc>
          <w:tcPr>
            <w:tcW w:w="1998" w:type="dxa"/>
          </w:tcPr>
          <w:p w14:paraId="704A376C" w14:textId="0FC02527" w:rsidR="00E40716" w:rsidRPr="009B4F53" w:rsidRDefault="00E40716" w:rsidP="0000255F">
            <w:pPr>
              <w:jc w:val="both"/>
              <w:rPr>
                <w:rFonts w:ascii="Times New Roman" w:hAnsi="Times New Roman" w:cs="Times New Roman"/>
              </w:rPr>
            </w:pPr>
            <w:r w:rsidRPr="009B4F53">
              <w:rPr>
                <w:rFonts w:ascii="Times New Roman" w:hAnsi="Times New Roman" w:cs="Times New Roman"/>
              </w:rPr>
              <w:lastRenderedPageBreak/>
              <w:t>A</w:t>
            </w:r>
            <w:r w:rsidRPr="009B4F53">
              <w:rPr>
                <w:rFonts w:ascii="Times New Roman" w:hAnsi="Times New Roman" w:cs="Times New Roman"/>
                <w:b/>
              </w:rPr>
              <w:t>gencies</w:t>
            </w:r>
            <w:r w:rsidRPr="009B4F53">
              <w:rPr>
                <w:rFonts w:ascii="Times New Roman" w:hAnsi="Times New Roman" w:cs="Times New Roman"/>
              </w:rPr>
              <w:t>: Children</w:t>
            </w:r>
            <w:r w:rsidR="00727DF5" w:rsidRPr="009B4F53">
              <w:rPr>
                <w:rFonts w:ascii="Times New Roman" w:hAnsi="Times New Roman" w:cs="Times New Roman"/>
              </w:rPr>
              <w:t>'s</w:t>
            </w:r>
            <w:r w:rsidRPr="009B4F53">
              <w:rPr>
                <w:rFonts w:ascii="Times New Roman" w:hAnsi="Times New Roman" w:cs="Times New Roman"/>
              </w:rPr>
              <w:t xml:space="preserve"> services </w:t>
            </w:r>
          </w:p>
          <w:p w14:paraId="6A3D2989" w14:textId="77777777" w:rsidR="00E40716" w:rsidRPr="009B4F53" w:rsidRDefault="00E40716" w:rsidP="0000255F">
            <w:pPr>
              <w:jc w:val="both"/>
              <w:rPr>
                <w:rFonts w:ascii="Times New Roman" w:hAnsi="Times New Roman" w:cs="Times New Roman"/>
              </w:rPr>
            </w:pPr>
          </w:p>
          <w:p w14:paraId="476F5DFC" w14:textId="77777777" w:rsidR="00E40716" w:rsidRPr="009B4F53" w:rsidRDefault="00E40716" w:rsidP="0000255F">
            <w:pPr>
              <w:jc w:val="both"/>
              <w:rPr>
                <w:rFonts w:ascii="Times New Roman" w:hAnsi="Times New Roman" w:cs="Times New Roman"/>
                <w:b/>
              </w:rPr>
            </w:pPr>
            <w:r w:rsidRPr="009B4F53">
              <w:rPr>
                <w:rFonts w:ascii="Times New Roman" w:hAnsi="Times New Roman" w:cs="Times New Roman"/>
                <w:b/>
              </w:rPr>
              <w:t>SERVICES:</w:t>
            </w:r>
          </w:p>
          <w:p w14:paraId="167577FF" w14:textId="77777777" w:rsidR="00E40716" w:rsidRPr="009B4F53" w:rsidRDefault="00E40716" w:rsidP="0000255F">
            <w:pPr>
              <w:jc w:val="both"/>
              <w:rPr>
                <w:rFonts w:ascii="Times New Roman" w:hAnsi="Times New Roman" w:cs="Times New Roman"/>
              </w:rPr>
            </w:pPr>
            <w:r w:rsidRPr="009B4F53">
              <w:rPr>
                <w:rFonts w:ascii="Times New Roman" w:hAnsi="Times New Roman" w:cs="Times New Roman"/>
              </w:rPr>
              <w:t>Livelihood program, life skills/vocational training/ entrepreneurship</w:t>
            </w:r>
          </w:p>
        </w:tc>
      </w:tr>
    </w:tbl>
    <w:p w14:paraId="32193BE9" w14:textId="77777777" w:rsidR="00E40716" w:rsidRPr="0000255F" w:rsidRDefault="00E40716" w:rsidP="0000255F">
      <w:pPr>
        <w:spacing w:after="0" w:line="240" w:lineRule="auto"/>
        <w:jc w:val="both"/>
        <w:rPr>
          <w:rFonts w:ascii="Times New Roman" w:hAnsi="Times New Roman" w:cs="Times New Roman"/>
          <w:sz w:val="24"/>
          <w:szCs w:val="24"/>
        </w:rPr>
      </w:pPr>
    </w:p>
    <w:p w14:paraId="0D1C3330" w14:textId="77777777" w:rsidR="00E40716" w:rsidRPr="0000255F" w:rsidRDefault="00E40716" w:rsidP="0000255F">
      <w:pPr>
        <w:spacing w:after="0" w:line="240" w:lineRule="auto"/>
        <w:jc w:val="both"/>
        <w:rPr>
          <w:rFonts w:ascii="Times New Roman" w:hAnsi="Times New Roman" w:cs="Times New Roman"/>
          <w:b/>
          <w:bCs/>
          <w:sz w:val="24"/>
          <w:szCs w:val="24"/>
        </w:rPr>
      </w:pPr>
    </w:p>
    <w:p w14:paraId="0DE46E3D" w14:textId="77777777" w:rsidR="00E40716" w:rsidRPr="0000255F" w:rsidRDefault="00E40716" w:rsidP="0000255F">
      <w:pPr>
        <w:spacing w:after="0" w:line="240" w:lineRule="auto"/>
        <w:jc w:val="both"/>
        <w:rPr>
          <w:rFonts w:ascii="Times New Roman" w:hAnsi="Times New Roman" w:cs="Times New Roman"/>
          <w:b/>
          <w:bCs/>
          <w:sz w:val="24"/>
          <w:szCs w:val="24"/>
        </w:rPr>
        <w:sectPr w:rsidR="00E40716" w:rsidRPr="0000255F" w:rsidSect="004028DC">
          <w:pgSz w:w="11900" w:h="16840" w:code="9"/>
          <w:pgMar w:top="1440" w:right="1440" w:bottom="1440" w:left="1440" w:header="720" w:footer="720" w:gutter="0"/>
          <w:cols w:space="720"/>
          <w:docGrid w:linePitch="360"/>
        </w:sectPr>
      </w:pPr>
    </w:p>
    <w:p w14:paraId="0F65DDAD" w14:textId="3F728741" w:rsidR="00E40716" w:rsidRPr="009B4F53" w:rsidRDefault="00862D5B" w:rsidP="00FD2E4D">
      <w:pPr>
        <w:pStyle w:val="Heading1"/>
        <w:rPr>
          <w:sz w:val="23"/>
          <w:szCs w:val="23"/>
        </w:rPr>
      </w:pPr>
      <w:bookmarkStart w:id="36" w:name="_Toc141127710"/>
      <w:r w:rsidRPr="009B4F53">
        <w:rPr>
          <w:sz w:val="23"/>
          <w:szCs w:val="23"/>
        </w:rPr>
        <w:lastRenderedPageBreak/>
        <w:t>INSTITUTIONAL ARRANGEMENTS AND MONITORING OF THE SEA/SH PREVENTION AND RESPONSE ACTION PLAN</w:t>
      </w:r>
      <w:bookmarkEnd w:id="36"/>
    </w:p>
    <w:p w14:paraId="0557783F" w14:textId="77777777" w:rsidR="00FD2E4D" w:rsidRPr="009B4F53" w:rsidRDefault="00FD2E4D" w:rsidP="00FD2E4D">
      <w:pPr>
        <w:spacing w:after="0" w:line="240" w:lineRule="auto"/>
        <w:rPr>
          <w:rFonts w:ascii="Times New Roman" w:hAnsi="Times New Roman" w:cs="Times New Roman"/>
          <w:sz w:val="23"/>
          <w:szCs w:val="23"/>
        </w:rPr>
      </w:pPr>
    </w:p>
    <w:p w14:paraId="435427E7" w14:textId="53A1D0B5" w:rsidR="00FD2E4D" w:rsidRPr="009B4F53" w:rsidRDefault="00FD2E4D" w:rsidP="00CC07B2">
      <w:pPr>
        <w:pStyle w:val="Heading2"/>
        <w:rPr>
          <w:sz w:val="23"/>
          <w:szCs w:val="23"/>
        </w:rPr>
      </w:pPr>
      <w:bookmarkStart w:id="37" w:name="_Toc70504884"/>
      <w:bookmarkStart w:id="38" w:name="_Toc141127711"/>
      <w:r w:rsidRPr="009B4F53">
        <w:rPr>
          <w:sz w:val="23"/>
          <w:szCs w:val="23"/>
        </w:rPr>
        <w:t>Gender Management System</w:t>
      </w:r>
      <w:bookmarkEnd w:id="37"/>
      <w:bookmarkEnd w:id="38"/>
    </w:p>
    <w:p w14:paraId="0E8B999E" w14:textId="77777777" w:rsidR="00FD2E4D" w:rsidRPr="009B4F53" w:rsidRDefault="00FD2E4D" w:rsidP="00FD2E4D">
      <w:pPr>
        <w:spacing w:after="0" w:line="240" w:lineRule="auto"/>
        <w:jc w:val="both"/>
        <w:rPr>
          <w:rFonts w:ascii="Times New Roman" w:eastAsia="Times New Roman" w:hAnsi="Times New Roman" w:cs="Times New Roman"/>
          <w:sz w:val="23"/>
          <w:szCs w:val="23"/>
        </w:rPr>
      </w:pPr>
    </w:p>
    <w:p w14:paraId="215AC198" w14:textId="545CFD37" w:rsidR="002B6389" w:rsidRPr="009B4F53" w:rsidRDefault="00935A3A" w:rsidP="00357CF0">
      <w:pPr>
        <w:spacing w:after="0" w:line="240" w:lineRule="auto"/>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 xml:space="preserve">The project </w:t>
      </w:r>
      <w:r w:rsidR="00357CF0" w:rsidRPr="009B4F53">
        <w:rPr>
          <w:rFonts w:ascii="Times New Roman" w:hAnsi="Times New Roman" w:cs="Times New Roman"/>
          <w:sz w:val="23"/>
          <w:szCs w:val="23"/>
        </w:rPr>
        <w:t xml:space="preserve">SEA/SH Prevention and Response Action Plan </w:t>
      </w:r>
      <w:r w:rsidRPr="009B4F53">
        <w:rPr>
          <w:rFonts w:ascii="Times New Roman" w:eastAsia="Arial" w:hAnsi="Times New Roman" w:cs="Times New Roman"/>
          <w:sz w:val="23"/>
          <w:szCs w:val="23"/>
        </w:rPr>
        <w:t xml:space="preserve">will </w:t>
      </w:r>
      <w:r w:rsidR="00727DF5" w:rsidRPr="009B4F53">
        <w:rPr>
          <w:rFonts w:ascii="Times New Roman" w:eastAsia="Arial" w:hAnsi="Times New Roman" w:cs="Times New Roman"/>
          <w:sz w:val="23"/>
          <w:szCs w:val="23"/>
        </w:rPr>
        <w:t xml:space="preserve">be </w:t>
      </w:r>
      <w:r w:rsidRPr="009B4F53">
        <w:rPr>
          <w:rFonts w:ascii="Times New Roman" w:eastAsia="Arial" w:hAnsi="Times New Roman" w:cs="Times New Roman"/>
          <w:sz w:val="23"/>
          <w:szCs w:val="23"/>
        </w:rPr>
        <w:t>implemented and monito</w:t>
      </w:r>
      <w:r w:rsidR="00183164" w:rsidRPr="009B4F53">
        <w:rPr>
          <w:rFonts w:ascii="Times New Roman" w:eastAsia="Arial" w:hAnsi="Times New Roman" w:cs="Times New Roman"/>
          <w:sz w:val="23"/>
          <w:szCs w:val="23"/>
        </w:rPr>
        <w:t xml:space="preserve">red through the already existing Gender Management System within the </w:t>
      </w:r>
      <w:r w:rsidR="002B6389" w:rsidRPr="009B4F53">
        <w:rPr>
          <w:rFonts w:ascii="Times New Roman" w:eastAsia="Arial" w:hAnsi="Times New Roman" w:cs="Times New Roman"/>
          <w:sz w:val="23"/>
          <w:szCs w:val="23"/>
        </w:rPr>
        <w:t>Ministry</w:t>
      </w:r>
      <w:r w:rsidR="00183164" w:rsidRPr="009B4F53">
        <w:rPr>
          <w:rFonts w:ascii="Times New Roman" w:eastAsia="Arial" w:hAnsi="Times New Roman" w:cs="Times New Roman"/>
          <w:sz w:val="23"/>
          <w:szCs w:val="23"/>
        </w:rPr>
        <w:t xml:space="preserve"> of Information, Communication and </w:t>
      </w:r>
      <w:r w:rsidR="00D7498C" w:rsidRPr="009B4F53">
        <w:rPr>
          <w:rFonts w:ascii="Times New Roman" w:eastAsia="Arial" w:hAnsi="Times New Roman" w:cs="Times New Roman"/>
          <w:sz w:val="23"/>
          <w:szCs w:val="23"/>
        </w:rPr>
        <w:t>Technology</w:t>
      </w:r>
      <w:r w:rsidR="00183164" w:rsidRPr="009B4F53">
        <w:rPr>
          <w:rFonts w:ascii="Times New Roman" w:eastAsia="Arial" w:hAnsi="Times New Roman" w:cs="Times New Roman"/>
          <w:sz w:val="23"/>
          <w:szCs w:val="23"/>
        </w:rPr>
        <w:t xml:space="preserve"> and Digital Innovation (MICDE)</w:t>
      </w:r>
      <w:r w:rsidR="00E64298" w:rsidRPr="009B4F53">
        <w:rPr>
          <w:rFonts w:ascii="Times New Roman" w:eastAsia="Arial" w:hAnsi="Times New Roman" w:cs="Times New Roman"/>
          <w:sz w:val="23"/>
          <w:szCs w:val="23"/>
        </w:rPr>
        <w:t xml:space="preserve"> and the ICTA Authority. </w:t>
      </w:r>
    </w:p>
    <w:p w14:paraId="6D40FE2D" w14:textId="77777777" w:rsidR="002B6389" w:rsidRPr="009B4F53" w:rsidRDefault="002B6389" w:rsidP="00FD2E4D">
      <w:pPr>
        <w:spacing w:after="0" w:line="240" w:lineRule="auto"/>
        <w:ind w:right="80"/>
        <w:jc w:val="both"/>
        <w:rPr>
          <w:rFonts w:ascii="Times New Roman" w:eastAsia="Arial" w:hAnsi="Times New Roman" w:cs="Times New Roman"/>
          <w:sz w:val="23"/>
          <w:szCs w:val="23"/>
        </w:rPr>
      </w:pPr>
    </w:p>
    <w:p w14:paraId="1C910DEE" w14:textId="2DC673FD" w:rsidR="00FD2E4D" w:rsidRPr="009B4F53" w:rsidRDefault="002B6389" w:rsidP="00FD2E4D">
      <w:pPr>
        <w:spacing w:after="0" w:line="240" w:lineRule="auto"/>
        <w:ind w:right="80"/>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I</w:t>
      </w:r>
      <w:r w:rsidR="00FD2E4D" w:rsidRPr="009B4F53">
        <w:rPr>
          <w:rFonts w:ascii="Times New Roman" w:eastAsia="Arial" w:hAnsi="Times New Roman" w:cs="Times New Roman"/>
          <w:sz w:val="23"/>
          <w:szCs w:val="23"/>
        </w:rPr>
        <w:t>n address</w:t>
      </w:r>
      <w:r w:rsidRPr="009B4F53">
        <w:rPr>
          <w:rFonts w:ascii="Times New Roman" w:eastAsia="Arial" w:hAnsi="Times New Roman" w:cs="Times New Roman"/>
          <w:sz w:val="23"/>
          <w:szCs w:val="23"/>
        </w:rPr>
        <w:t>ing</w:t>
      </w:r>
      <w:r w:rsidR="00FD2E4D" w:rsidRPr="009B4F53">
        <w:rPr>
          <w:rFonts w:ascii="Times New Roman" w:eastAsia="Arial" w:hAnsi="Times New Roman" w:cs="Times New Roman"/>
          <w:sz w:val="23"/>
          <w:szCs w:val="23"/>
        </w:rPr>
        <w:t xml:space="preserve"> issues of SGBV the State Department, </w:t>
      </w:r>
      <w:r w:rsidRPr="009B4F53">
        <w:rPr>
          <w:rFonts w:ascii="Times New Roman" w:eastAsia="Arial" w:hAnsi="Times New Roman" w:cs="Times New Roman"/>
          <w:sz w:val="23"/>
          <w:szCs w:val="23"/>
        </w:rPr>
        <w:t xml:space="preserve">has established a </w:t>
      </w:r>
      <w:r w:rsidR="00D7498C" w:rsidRPr="009B4F53">
        <w:rPr>
          <w:rFonts w:ascii="Times New Roman" w:eastAsia="Arial" w:hAnsi="Times New Roman" w:cs="Times New Roman"/>
          <w:sz w:val="23"/>
          <w:szCs w:val="23"/>
        </w:rPr>
        <w:t xml:space="preserve">system </w:t>
      </w:r>
      <w:r w:rsidR="00FD2E4D" w:rsidRPr="009B4F53">
        <w:rPr>
          <w:rFonts w:ascii="Times New Roman" w:eastAsia="Arial" w:hAnsi="Times New Roman" w:cs="Times New Roman"/>
          <w:sz w:val="23"/>
          <w:szCs w:val="23"/>
        </w:rPr>
        <w:t xml:space="preserve">to support a coordinated approach towards SGBV prevention and response. </w:t>
      </w:r>
      <w:r w:rsidR="00D7498C" w:rsidRPr="009B4F53">
        <w:rPr>
          <w:rFonts w:ascii="Times New Roman" w:eastAsia="Arial" w:hAnsi="Times New Roman" w:cs="Times New Roman"/>
          <w:sz w:val="23"/>
          <w:szCs w:val="23"/>
        </w:rPr>
        <w:t xml:space="preserve">This </w:t>
      </w:r>
      <w:r w:rsidR="00FD2E4D" w:rsidRPr="009B4F53">
        <w:rPr>
          <w:rFonts w:ascii="Times New Roman" w:eastAsia="Arial" w:hAnsi="Times New Roman" w:cs="Times New Roman"/>
          <w:sz w:val="23"/>
          <w:szCs w:val="23"/>
        </w:rPr>
        <w:t>include</w:t>
      </w:r>
      <w:r w:rsidR="00D7498C" w:rsidRPr="009B4F53">
        <w:rPr>
          <w:rFonts w:ascii="Times New Roman" w:eastAsia="Arial" w:hAnsi="Times New Roman" w:cs="Times New Roman"/>
          <w:sz w:val="23"/>
          <w:szCs w:val="23"/>
        </w:rPr>
        <w:t>s</w:t>
      </w:r>
      <w:r w:rsidR="00FD2E4D" w:rsidRPr="009B4F53">
        <w:rPr>
          <w:rFonts w:ascii="Times New Roman" w:eastAsia="Arial" w:hAnsi="Times New Roman" w:cs="Times New Roman"/>
          <w:sz w:val="23"/>
          <w:szCs w:val="23"/>
        </w:rPr>
        <w:t xml:space="preserve"> structures and management tools </w:t>
      </w:r>
      <w:r w:rsidR="00B86739" w:rsidRPr="009B4F53">
        <w:rPr>
          <w:rFonts w:ascii="Times New Roman" w:eastAsia="Arial" w:hAnsi="Times New Roman" w:cs="Times New Roman"/>
          <w:sz w:val="23"/>
          <w:szCs w:val="23"/>
        </w:rPr>
        <w:t>used by the</w:t>
      </w:r>
      <w:r w:rsidR="00FD2E4D" w:rsidRPr="009B4F53">
        <w:rPr>
          <w:rFonts w:ascii="Times New Roman" w:eastAsia="Arial" w:hAnsi="Times New Roman" w:cs="Times New Roman"/>
          <w:sz w:val="23"/>
          <w:szCs w:val="23"/>
        </w:rPr>
        <w:t xml:space="preserve"> </w:t>
      </w:r>
      <w:r w:rsidR="004D2F60" w:rsidRPr="009B4F53">
        <w:rPr>
          <w:rFonts w:ascii="Times New Roman" w:eastAsia="Arial" w:hAnsi="Times New Roman" w:cs="Times New Roman"/>
          <w:sz w:val="23"/>
          <w:szCs w:val="23"/>
        </w:rPr>
        <w:t xml:space="preserve">ICT </w:t>
      </w:r>
      <w:r w:rsidR="00FD2E4D" w:rsidRPr="009B4F53">
        <w:rPr>
          <w:rFonts w:ascii="Times New Roman" w:eastAsia="Arial" w:hAnsi="Times New Roman" w:cs="Times New Roman"/>
          <w:sz w:val="23"/>
          <w:szCs w:val="23"/>
        </w:rPr>
        <w:t>Authority</w:t>
      </w:r>
      <w:r w:rsidR="00B86739" w:rsidRPr="009B4F53">
        <w:rPr>
          <w:rFonts w:ascii="Times New Roman" w:eastAsia="Arial" w:hAnsi="Times New Roman" w:cs="Times New Roman"/>
          <w:sz w:val="23"/>
          <w:szCs w:val="23"/>
        </w:rPr>
        <w:t xml:space="preserve"> for </w:t>
      </w:r>
      <w:r w:rsidR="00727DF5" w:rsidRPr="009B4F53">
        <w:rPr>
          <w:rFonts w:ascii="Times New Roman" w:eastAsia="Arial" w:hAnsi="Times New Roman" w:cs="Times New Roman"/>
          <w:sz w:val="23"/>
          <w:szCs w:val="23"/>
        </w:rPr>
        <w:t xml:space="preserve">the </w:t>
      </w:r>
      <w:r w:rsidR="00B86739" w:rsidRPr="009B4F53">
        <w:rPr>
          <w:rFonts w:ascii="Times New Roman" w:eastAsia="Arial" w:hAnsi="Times New Roman" w:cs="Times New Roman"/>
          <w:sz w:val="23"/>
          <w:szCs w:val="23"/>
        </w:rPr>
        <w:t xml:space="preserve">management of </w:t>
      </w:r>
      <w:r w:rsidR="004D2F60" w:rsidRPr="009B4F53">
        <w:rPr>
          <w:rFonts w:ascii="Times New Roman" w:eastAsia="Arial" w:hAnsi="Times New Roman" w:cs="Times New Roman"/>
          <w:sz w:val="23"/>
          <w:szCs w:val="23"/>
        </w:rPr>
        <w:t xml:space="preserve">SEA/SH risks under the KDEAP. </w:t>
      </w:r>
    </w:p>
    <w:p w14:paraId="2C01F487" w14:textId="77777777" w:rsidR="00CC07B2" w:rsidRPr="009B4F53" w:rsidRDefault="00CC07B2" w:rsidP="00FD2E4D">
      <w:pPr>
        <w:spacing w:after="0" w:line="240" w:lineRule="auto"/>
        <w:ind w:right="80"/>
        <w:jc w:val="both"/>
        <w:rPr>
          <w:rFonts w:ascii="Times New Roman" w:eastAsia="Arial" w:hAnsi="Times New Roman" w:cs="Times New Roman"/>
          <w:sz w:val="23"/>
          <w:szCs w:val="23"/>
        </w:rPr>
      </w:pPr>
    </w:p>
    <w:p w14:paraId="03D01A8A" w14:textId="4BCA81BB" w:rsidR="00FD2E4D" w:rsidRPr="009B4F53" w:rsidRDefault="00FD2E4D" w:rsidP="00FD2E4D">
      <w:pPr>
        <w:pStyle w:val="Heading2"/>
        <w:rPr>
          <w:sz w:val="23"/>
          <w:szCs w:val="23"/>
        </w:rPr>
      </w:pPr>
      <w:bookmarkStart w:id="39" w:name="_Toc70504885"/>
      <w:bookmarkStart w:id="40" w:name="_Toc141127712"/>
      <w:r w:rsidRPr="009B4F53">
        <w:rPr>
          <w:sz w:val="23"/>
          <w:szCs w:val="23"/>
        </w:rPr>
        <w:t>Structures</w:t>
      </w:r>
      <w:bookmarkEnd w:id="39"/>
      <w:bookmarkEnd w:id="40"/>
    </w:p>
    <w:p w14:paraId="6196C0A6" w14:textId="77777777" w:rsidR="00FD2E4D" w:rsidRPr="009B4F53" w:rsidRDefault="00FD2E4D" w:rsidP="00FD2E4D">
      <w:pPr>
        <w:spacing w:after="0" w:line="240" w:lineRule="auto"/>
        <w:rPr>
          <w:rFonts w:ascii="Times New Roman" w:eastAsia="Times New Roman" w:hAnsi="Times New Roman" w:cs="Times New Roman"/>
          <w:sz w:val="23"/>
          <w:szCs w:val="23"/>
        </w:rPr>
      </w:pPr>
    </w:p>
    <w:p w14:paraId="6F699A10" w14:textId="41AF382C" w:rsidR="00FD2E4D" w:rsidRPr="009B4F53" w:rsidRDefault="00FD2E4D" w:rsidP="00FD2E4D">
      <w:pPr>
        <w:spacing w:after="0" w:line="240" w:lineRule="auto"/>
        <w:ind w:right="200"/>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 xml:space="preserve">The responsibility for </w:t>
      </w:r>
      <w:r w:rsidR="00357B54" w:rsidRPr="009B4F53">
        <w:rPr>
          <w:rFonts w:ascii="Times New Roman" w:eastAsia="Arial" w:hAnsi="Times New Roman" w:cs="Times New Roman"/>
          <w:sz w:val="23"/>
          <w:szCs w:val="23"/>
        </w:rPr>
        <w:t xml:space="preserve">managing </w:t>
      </w:r>
      <w:r w:rsidRPr="009B4F53">
        <w:rPr>
          <w:rFonts w:ascii="Times New Roman" w:eastAsia="Arial" w:hAnsi="Times New Roman" w:cs="Times New Roman"/>
          <w:sz w:val="23"/>
          <w:szCs w:val="23"/>
        </w:rPr>
        <w:t>SGBV</w:t>
      </w:r>
      <w:r w:rsidR="00357B54" w:rsidRPr="009B4F53">
        <w:rPr>
          <w:rFonts w:ascii="Times New Roman" w:eastAsia="Arial" w:hAnsi="Times New Roman" w:cs="Times New Roman"/>
          <w:sz w:val="23"/>
          <w:szCs w:val="23"/>
        </w:rPr>
        <w:t xml:space="preserve"> under the </w:t>
      </w:r>
      <w:r w:rsidR="00B1534E" w:rsidRPr="009B4F53">
        <w:rPr>
          <w:rFonts w:ascii="Times New Roman" w:eastAsia="Arial" w:hAnsi="Times New Roman" w:cs="Times New Roman"/>
          <w:sz w:val="23"/>
          <w:szCs w:val="23"/>
        </w:rPr>
        <w:t>MICDE and ICTA</w:t>
      </w:r>
      <w:r w:rsidRPr="009B4F53">
        <w:rPr>
          <w:rFonts w:ascii="Times New Roman" w:eastAsia="Arial" w:hAnsi="Times New Roman" w:cs="Times New Roman"/>
          <w:sz w:val="23"/>
          <w:szCs w:val="23"/>
        </w:rPr>
        <w:t xml:space="preserve"> </w:t>
      </w:r>
      <w:r w:rsidR="00B86739" w:rsidRPr="009B4F53">
        <w:rPr>
          <w:rFonts w:ascii="Times New Roman" w:eastAsia="Arial" w:hAnsi="Times New Roman" w:cs="Times New Roman"/>
          <w:sz w:val="23"/>
          <w:szCs w:val="23"/>
        </w:rPr>
        <w:t>is</w:t>
      </w:r>
      <w:r w:rsidRPr="009B4F53">
        <w:rPr>
          <w:rFonts w:ascii="Times New Roman" w:eastAsia="Arial" w:hAnsi="Times New Roman" w:cs="Times New Roman"/>
          <w:sz w:val="23"/>
          <w:szCs w:val="23"/>
        </w:rPr>
        <w:t xml:space="preserve"> shared by all and driven from the top management level while ensuring that specific responsibilities and expertise are vested in strategically positioned structures within the </w:t>
      </w:r>
      <w:r w:rsidR="00357B54" w:rsidRPr="009B4F53">
        <w:rPr>
          <w:rFonts w:ascii="Times New Roman" w:eastAsia="Arial" w:hAnsi="Times New Roman" w:cs="Times New Roman"/>
          <w:sz w:val="23"/>
          <w:szCs w:val="23"/>
        </w:rPr>
        <w:t xml:space="preserve">ICT </w:t>
      </w:r>
      <w:r w:rsidRPr="009B4F53">
        <w:rPr>
          <w:rFonts w:ascii="Times New Roman" w:eastAsia="Arial" w:hAnsi="Times New Roman" w:cs="Times New Roman"/>
          <w:sz w:val="23"/>
          <w:szCs w:val="23"/>
        </w:rPr>
        <w:t>Authority.</w:t>
      </w:r>
    </w:p>
    <w:p w14:paraId="41483805" w14:textId="77777777" w:rsidR="00FD2E4D" w:rsidRPr="009B4F53" w:rsidRDefault="00FD2E4D" w:rsidP="00FD2E4D">
      <w:pPr>
        <w:spacing w:after="0" w:line="240" w:lineRule="auto"/>
        <w:jc w:val="both"/>
        <w:rPr>
          <w:rFonts w:ascii="Times New Roman" w:eastAsia="Times New Roman" w:hAnsi="Times New Roman" w:cs="Times New Roman"/>
          <w:sz w:val="23"/>
          <w:szCs w:val="23"/>
        </w:rPr>
      </w:pPr>
    </w:p>
    <w:p w14:paraId="0A99FA5A" w14:textId="71A94F5B" w:rsidR="00FD2E4D" w:rsidRPr="009B4F53" w:rsidRDefault="00FD2E4D" w:rsidP="00FD2E4D">
      <w:pPr>
        <w:spacing w:after="0" w:line="240" w:lineRule="auto"/>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The system include</w:t>
      </w:r>
      <w:r w:rsidR="00B86739" w:rsidRPr="009B4F53">
        <w:rPr>
          <w:rFonts w:ascii="Times New Roman" w:eastAsia="Arial" w:hAnsi="Times New Roman" w:cs="Times New Roman"/>
          <w:sz w:val="23"/>
          <w:szCs w:val="23"/>
        </w:rPr>
        <w:t>s</w:t>
      </w:r>
      <w:r w:rsidRPr="009B4F53">
        <w:rPr>
          <w:rFonts w:ascii="Times New Roman" w:eastAsia="Arial" w:hAnsi="Times New Roman" w:cs="Times New Roman"/>
          <w:sz w:val="23"/>
          <w:szCs w:val="23"/>
        </w:rPr>
        <w:t xml:space="preserve"> a gender </w:t>
      </w:r>
      <w:r w:rsidR="00694AF5" w:rsidRPr="009B4F53">
        <w:rPr>
          <w:rFonts w:ascii="Times New Roman" w:eastAsia="Arial" w:hAnsi="Times New Roman" w:cs="Times New Roman"/>
          <w:sz w:val="23"/>
          <w:szCs w:val="23"/>
        </w:rPr>
        <w:t>m</w:t>
      </w:r>
      <w:r w:rsidRPr="009B4F53">
        <w:rPr>
          <w:rFonts w:ascii="Times New Roman" w:eastAsia="Arial" w:hAnsi="Times New Roman" w:cs="Times New Roman"/>
          <w:sz w:val="23"/>
          <w:szCs w:val="23"/>
        </w:rPr>
        <w:t>ainstreaming Committee whose key role is to process the SGBV cases whenever they arise. It comprise</w:t>
      </w:r>
      <w:r w:rsidR="00B86739" w:rsidRPr="009B4F53">
        <w:rPr>
          <w:rFonts w:ascii="Times New Roman" w:eastAsia="Arial" w:hAnsi="Times New Roman" w:cs="Times New Roman"/>
          <w:sz w:val="23"/>
          <w:szCs w:val="23"/>
        </w:rPr>
        <w:t>s</w:t>
      </w:r>
      <w:r w:rsidRPr="009B4F53">
        <w:rPr>
          <w:rFonts w:ascii="Times New Roman" w:eastAsia="Arial" w:hAnsi="Times New Roman" w:cs="Times New Roman"/>
          <w:sz w:val="23"/>
          <w:szCs w:val="23"/>
        </w:rPr>
        <w:t xml:space="preserve"> of six persons who are members of the Gender Mainstreaming Committee whose attributes include: high integrity, relevance, competency, accessibility, approachability and confidentiality. All Departments/Directorates and Units are key in ensuring the policy objectives are achieved and maintained.</w:t>
      </w:r>
      <w:r w:rsidR="00694AF5" w:rsidRPr="009B4F53">
        <w:rPr>
          <w:rFonts w:ascii="Times New Roman" w:eastAsia="Arial" w:hAnsi="Times New Roman" w:cs="Times New Roman"/>
          <w:sz w:val="23"/>
          <w:szCs w:val="23"/>
        </w:rPr>
        <w:t xml:space="preserve"> There is also a gender f</w:t>
      </w:r>
      <w:r w:rsidR="001754E8" w:rsidRPr="009B4F53">
        <w:rPr>
          <w:rFonts w:ascii="Times New Roman" w:eastAsia="Arial" w:hAnsi="Times New Roman" w:cs="Times New Roman"/>
          <w:sz w:val="23"/>
          <w:szCs w:val="23"/>
        </w:rPr>
        <w:t xml:space="preserve">ocal point in place. </w:t>
      </w:r>
    </w:p>
    <w:p w14:paraId="5025FCB3" w14:textId="77777777" w:rsidR="00FD2E4D" w:rsidRPr="009B4F53" w:rsidRDefault="00FD2E4D" w:rsidP="00FD2E4D">
      <w:pPr>
        <w:spacing w:after="0" w:line="240" w:lineRule="auto"/>
        <w:jc w:val="both"/>
        <w:rPr>
          <w:rFonts w:ascii="Times New Roman" w:eastAsia="Arial" w:hAnsi="Times New Roman" w:cs="Times New Roman"/>
          <w:sz w:val="23"/>
          <w:szCs w:val="23"/>
        </w:rPr>
      </w:pPr>
    </w:p>
    <w:p w14:paraId="5C5C4D18" w14:textId="328C96D5" w:rsidR="00FD2E4D" w:rsidRPr="009B4F53" w:rsidRDefault="00FD2E4D" w:rsidP="000E1D9C">
      <w:pPr>
        <w:pStyle w:val="Heading2"/>
        <w:rPr>
          <w:sz w:val="23"/>
          <w:szCs w:val="23"/>
        </w:rPr>
      </w:pPr>
      <w:bookmarkStart w:id="41" w:name="_Toc141127713"/>
      <w:r w:rsidRPr="009B4F53">
        <w:rPr>
          <w:sz w:val="23"/>
          <w:szCs w:val="23"/>
        </w:rPr>
        <w:t>Implementation Framework</w:t>
      </w:r>
      <w:bookmarkEnd w:id="41"/>
    </w:p>
    <w:p w14:paraId="5C068B67" w14:textId="77777777" w:rsidR="00FD2E4D" w:rsidRPr="009B4F53" w:rsidRDefault="00FD2E4D" w:rsidP="00FD2E4D">
      <w:pPr>
        <w:spacing w:after="0" w:line="240" w:lineRule="auto"/>
        <w:jc w:val="both"/>
        <w:rPr>
          <w:rFonts w:ascii="Times New Roman" w:eastAsia="Times New Roman" w:hAnsi="Times New Roman" w:cs="Times New Roman"/>
          <w:sz w:val="23"/>
          <w:szCs w:val="23"/>
        </w:rPr>
      </w:pPr>
    </w:p>
    <w:p w14:paraId="021EC7A9" w14:textId="39D89648" w:rsidR="00FD2E4D" w:rsidRPr="009B4F53" w:rsidRDefault="00FD2E4D" w:rsidP="00FD2E4D">
      <w:pPr>
        <w:spacing w:after="0" w:line="240" w:lineRule="auto"/>
        <w:ind w:right="380"/>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 xml:space="preserve">The effective implementation of the SGBV Policy </w:t>
      </w:r>
      <w:r w:rsidR="00306B0C" w:rsidRPr="009B4F53">
        <w:rPr>
          <w:rFonts w:ascii="Times New Roman" w:eastAsia="Arial" w:hAnsi="Times New Roman" w:cs="Times New Roman"/>
          <w:sz w:val="23"/>
          <w:szCs w:val="23"/>
        </w:rPr>
        <w:t>is</w:t>
      </w:r>
      <w:r w:rsidRPr="009B4F53">
        <w:rPr>
          <w:rFonts w:ascii="Times New Roman" w:eastAsia="Arial" w:hAnsi="Times New Roman" w:cs="Times New Roman"/>
          <w:sz w:val="23"/>
          <w:szCs w:val="23"/>
        </w:rPr>
        <w:t xml:space="preserve"> a collaborative effort by all players of the Authority. Thus, the coordination of SGBV </w:t>
      </w:r>
      <w:proofErr w:type="spellStart"/>
      <w:r w:rsidRPr="009B4F53">
        <w:rPr>
          <w:rFonts w:ascii="Times New Roman" w:eastAsia="Arial" w:hAnsi="Times New Roman" w:cs="Times New Roman"/>
          <w:sz w:val="23"/>
          <w:szCs w:val="23"/>
        </w:rPr>
        <w:t>programmes</w:t>
      </w:r>
      <w:proofErr w:type="spellEnd"/>
      <w:r w:rsidRPr="009B4F53">
        <w:rPr>
          <w:rFonts w:ascii="Times New Roman" w:eastAsia="Arial" w:hAnsi="Times New Roman" w:cs="Times New Roman"/>
          <w:sz w:val="23"/>
          <w:szCs w:val="23"/>
        </w:rPr>
        <w:t xml:space="preserve"> </w:t>
      </w:r>
      <w:r w:rsidR="00306B0C" w:rsidRPr="009B4F53">
        <w:rPr>
          <w:rFonts w:ascii="Times New Roman" w:eastAsia="Arial" w:hAnsi="Times New Roman" w:cs="Times New Roman"/>
          <w:sz w:val="23"/>
          <w:szCs w:val="23"/>
        </w:rPr>
        <w:t>is</w:t>
      </w:r>
      <w:r w:rsidRPr="009B4F53">
        <w:rPr>
          <w:rFonts w:ascii="Times New Roman" w:eastAsia="Arial" w:hAnsi="Times New Roman" w:cs="Times New Roman"/>
          <w:sz w:val="23"/>
          <w:szCs w:val="23"/>
        </w:rPr>
        <w:t xml:space="preserve"> achieved through the participation of:</w:t>
      </w:r>
    </w:p>
    <w:p w14:paraId="33EC29E4" w14:textId="77777777" w:rsidR="00306B0C" w:rsidRPr="009B4F53" w:rsidRDefault="00306B0C" w:rsidP="00FD2E4D">
      <w:pPr>
        <w:spacing w:after="0" w:line="240" w:lineRule="auto"/>
        <w:ind w:right="380"/>
        <w:jc w:val="both"/>
        <w:rPr>
          <w:rFonts w:ascii="Times New Roman" w:eastAsia="Arial" w:hAnsi="Times New Roman" w:cs="Times New Roman"/>
          <w:sz w:val="23"/>
          <w:szCs w:val="23"/>
        </w:rPr>
      </w:pPr>
    </w:p>
    <w:p w14:paraId="71DE5EAE" w14:textId="77777777" w:rsidR="00FD2E4D" w:rsidRPr="009B4F53" w:rsidRDefault="00FD2E4D" w:rsidP="00FD2E4D">
      <w:pPr>
        <w:spacing w:after="0" w:line="240" w:lineRule="auto"/>
        <w:jc w:val="both"/>
        <w:rPr>
          <w:rFonts w:ascii="Times New Roman" w:eastAsia="Arial" w:hAnsi="Times New Roman" w:cs="Times New Roman"/>
          <w:b/>
          <w:sz w:val="23"/>
          <w:szCs w:val="23"/>
        </w:rPr>
      </w:pPr>
      <w:r w:rsidRPr="009B4F53">
        <w:rPr>
          <w:rFonts w:ascii="Times New Roman" w:eastAsia="Arial" w:hAnsi="Times New Roman" w:cs="Times New Roman"/>
          <w:b/>
          <w:sz w:val="23"/>
          <w:szCs w:val="23"/>
        </w:rPr>
        <w:t>Top Management</w:t>
      </w:r>
    </w:p>
    <w:p w14:paraId="7AE33391" w14:textId="77777777" w:rsidR="00FD2E4D" w:rsidRPr="009B4F53" w:rsidRDefault="00FD2E4D" w:rsidP="00FD2E4D">
      <w:pPr>
        <w:spacing w:after="0" w:line="240" w:lineRule="auto"/>
        <w:jc w:val="both"/>
        <w:rPr>
          <w:rFonts w:ascii="Times New Roman" w:eastAsia="Times New Roman" w:hAnsi="Times New Roman" w:cs="Times New Roman"/>
          <w:sz w:val="23"/>
          <w:szCs w:val="23"/>
        </w:rPr>
      </w:pPr>
    </w:p>
    <w:p w14:paraId="793E4A44" w14:textId="77777777" w:rsidR="00FD2E4D" w:rsidRPr="009B4F53" w:rsidRDefault="00FD2E4D" w:rsidP="00FD2E4D">
      <w:pPr>
        <w:spacing w:after="0" w:line="240" w:lineRule="auto"/>
        <w:ind w:right="320"/>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The Sexual Offences Act, 2006 stipulates the roles and responsibility of the employer as follows:</w:t>
      </w:r>
    </w:p>
    <w:p w14:paraId="65B41800" w14:textId="77777777" w:rsidR="00FD2E4D" w:rsidRPr="009B4F53" w:rsidRDefault="00FD2E4D" w:rsidP="00FD2E4D">
      <w:pPr>
        <w:spacing w:after="0" w:line="240" w:lineRule="auto"/>
        <w:jc w:val="both"/>
        <w:rPr>
          <w:rFonts w:ascii="Times New Roman" w:eastAsia="Times New Roman" w:hAnsi="Times New Roman" w:cs="Times New Roman"/>
          <w:sz w:val="23"/>
          <w:szCs w:val="23"/>
        </w:rPr>
      </w:pPr>
    </w:p>
    <w:p w14:paraId="0FFBAD78" w14:textId="00E73EB5" w:rsidR="00FD2E4D" w:rsidRPr="009B4F53" w:rsidRDefault="00FD2E4D" w:rsidP="009924D9">
      <w:pPr>
        <w:numPr>
          <w:ilvl w:val="0"/>
          <w:numId w:val="15"/>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Create awareness about sexual harassment;</w:t>
      </w:r>
    </w:p>
    <w:p w14:paraId="72F89B65" w14:textId="7634FE55" w:rsidR="00FD2E4D" w:rsidRPr="009B4F53" w:rsidRDefault="00FD2E4D" w:rsidP="009924D9">
      <w:pPr>
        <w:numPr>
          <w:ilvl w:val="0"/>
          <w:numId w:val="15"/>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Commit to support a working environment that is free from sexual harassment;</w:t>
      </w:r>
    </w:p>
    <w:p w14:paraId="1636AE64" w14:textId="1B4535BC" w:rsidR="00FD2E4D" w:rsidRPr="009B4F53" w:rsidRDefault="00FD2E4D" w:rsidP="009924D9">
      <w:pPr>
        <w:numPr>
          <w:ilvl w:val="0"/>
          <w:numId w:val="15"/>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Assure workers of disciplinary measures against any perpetrator;</w:t>
      </w:r>
    </w:p>
    <w:p w14:paraId="30E98966" w14:textId="7902C5AD" w:rsidR="00FD2E4D" w:rsidRPr="009B4F53" w:rsidRDefault="00FD2E4D" w:rsidP="009924D9">
      <w:pPr>
        <w:numPr>
          <w:ilvl w:val="0"/>
          <w:numId w:val="15"/>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Provide protection to the victim/survivor; and</w:t>
      </w:r>
    </w:p>
    <w:p w14:paraId="27518C42" w14:textId="2FB6021A" w:rsidR="00FD2E4D" w:rsidRPr="009B4F53" w:rsidRDefault="00FD2E4D" w:rsidP="009924D9">
      <w:pPr>
        <w:numPr>
          <w:ilvl w:val="0"/>
          <w:numId w:val="15"/>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Provide an avenue for complaints of sexual harassment.</w:t>
      </w:r>
    </w:p>
    <w:p w14:paraId="3E64A8A7" w14:textId="77777777" w:rsidR="00B1534E" w:rsidRPr="009B4F53" w:rsidRDefault="00B1534E" w:rsidP="00B1534E">
      <w:pPr>
        <w:tabs>
          <w:tab w:val="left" w:pos="860"/>
        </w:tabs>
        <w:spacing w:after="0" w:line="240" w:lineRule="auto"/>
        <w:ind w:left="860"/>
        <w:jc w:val="both"/>
        <w:rPr>
          <w:rFonts w:ascii="Times New Roman" w:eastAsia="Arial" w:hAnsi="Times New Roman" w:cs="Times New Roman"/>
          <w:sz w:val="23"/>
          <w:szCs w:val="23"/>
        </w:rPr>
      </w:pPr>
    </w:p>
    <w:p w14:paraId="7E7E7C5E" w14:textId="77777777" w:rsidR="00FD2E4D" w:rsidRPr="009B4F53" w:rsidRDefault="00FD2E4D" w:rsidP="00FD2E4D">
      <w:pPr>
        <w:spacing w:after="0" w:line="240" w:lineRule="auto"/>
        <w:rPr>
          <w:rFonts w:ascii="Times New Roman" w:eastAsia="Arial" w:hAnsi="Times New Roman" w:cs="Times New Roman"/>
          <w:b/>
          <w:sz w:val="23"/>
          <w:szCs w:val="23"/>
        </w:rPr>
      </w:pPr>
      <w:r w:rsidRPr="009B4F53">
        <w:rPr>
          <w:rFonts w:ascii="Times New Roman" w:eastAsia="Arial" w:hAnsi="Times New Roman" w:cs="Times New Roman"/>
          <w:b/>
          <w:sz w:val="23"/>
          <w:szCs w:val="23"/>
        </w:rPr>
        <w:t>Gender Mainstreaming Committee</w:t>
      </w:r>
    </w:p>
    <w:p w14:paraId="55760B6C" w14:textId="77777777" w:rsidR="00FD2E4D" w:rsidRPr="009B4F53" w:rsidRDefault="00FD2E4D" w:rsidP="00FD2E4D">
      <w:pPr>
        <w:spacing w:after="0" w:line="240" w:lineRule="auto"/>
        <w:rPr>
          <w:rFonts w:ascii="Times New Roman" w:eastAsia="Times New Roman" w:hAnsi="Times New Roman" w:cs="Times New Roman"/>
          <w:sz w:val="23"/>
          <w:szCs w:val="23"/>
        </w:rPr>
      </w:pPr>
    </w:p>
    <w:p w14:paraId="2CA11004" w14:textId="77777777"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Develop guidelines on prevention, response and reporting structure for all SGBV cases;</w:t>
      </w:r>
    </w:p>
    <w:p w14:paraId="39F044DE" w14:textId="77777777"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Monitor and advise on applicable SGBV prevention and response mechanisms;</w:t>
      </w:r>
    </w:p>
    <w:p w14:paraId="518EC334" w14:textId="77777777" w:rsidR="00FD2E4D" w:rsidRPr="009B4F53" w:rsidRDefault="00FD2E4D" w:rsidP="009924D9">
      <w:pPr>
        <w:numPr>
          <w:ilvl w:val="0"/>
          <w:numId w:val="16"/>
        </w:numPr>
        <w:tabs>
          <w:tab w:val="left" w:pos="860"/>
        </w:tabs>
        <w:spacing w:after="0" w:line="240" w:lineRule="auto"/>
        <w:ind w:left="860" w:right="10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Identify capacity needs, facilitate capacity building and carry out sensitization on SGBV.</w:t>
      </w:r>
    </w:p>
    <w:p w14:paraId="6CE37176" w14:textId="77777777"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Coordinate, monitor and evaluate the implementation of the Policy;</w:t>
      </w:r>
    </w:p>
    <w:p w14:paraId="3AA016C1" w14:textId="2E75BE10"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lastRenderedPageBreak/>
        <w:t>To receive and listen to reported cases of SGBV, processes them and make recommendations;</w:t>
      </w:r>
    </w:p>
    <w:p w14:paraId="4BEA9793" w14:textId="58FFB50A"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Prepare quarterly reports on SGBV;</w:t>
      </w:r>
    </w:p>
    <w:p w14:paraId="01C5C10A" w14:textId="77777777" w:rsidR="00FD2E4D" w:rsidRPr="009B4F53" w:rsidRDefault="00FD2E4D" w:rsidP="009924D9">
      <w:pPr>
        <w:numPr>
          <w:ilvl w:val="0"/>
          <w:numId w:val="16"/>
        </w:numPr>
        <w:tabs>
          <w:tab w:val="left" w:pos="860"/>
        </w:tabs>
        <w:spacing w:after="0" w:line="240" w:lineRule="auto"/>
        <w:ind w:left="860" w:right="28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Ensure the Authority plans, projects, programs and policies incorporate SGBV prevention mechanisms;</w:t>
      </w:r>
    </w:p>
    <w:p w14:paraId="1A8B5FEC" w14:textId="77777777" w:rsidR="00FD2E4D" w:rsidRPr="009B4F53" w:rsidRDefault="00FD2E4D" w:rsidP="009924D9">
      <w:pPr>
        <w:numPr>
          <w:ilvl w:val="0"/>
          <w:numId w:val="16"/>
        </w:numPr>
        <w:tabs>
          <w:tab w:val="left" w:pos="860"/>
        </w:tabs>
        <w:spacing w:after="0" w:line="240" w:lineRule="auto"/>
        <w:ind w:left="860" w:right="2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Ensure continuous mobilization and networking of stakeholders to support   implementation of the Policy;</w:t>
      </w:r>
    </w:p>
    <w:p w14:paraId="3C487CCB" w14:textId="4EDCA67C"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Coordinate SGBV data collection to facilitate reporting;</w:t>
      </w:r>
    </w:p>
    <w:p w14:paraId="3FD158B8" w14:textId="209F21C5"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Coordinate the SGBV Committee;</w:t>
      </w:r>
    </w:p>
    <w:p w14:paraId="4B59920E" w14:textId="5EB337A7"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Coordinate the dissemination of the Policy to stakeholders;</w:t>
      </w:r>
    </w:p>
    <w:p w14:paraId="5FD5DFB3" w14:textId="3B714D12" w:rsidR="00FD2E4D" w:rsidRPr="009B4F53" w:rsidRDefault="00FD2E4D" w:rsidP="009924D9">
      <w:pPr>
        <w:numPr>
          <w:ilvl w:val="0"/>
          <w:numId w:val="16"/>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Coordinate capacity building on SGBV issues/concerns in the Authority;</w:t>
      </w:r>
    </w:p>
    <w:p w14:paraId="2AF3BA35" w14:textId="77777777" w:rsidR="00FD2E4D" w:rsidRPr="009B4F53" w:rsidRDefault="00FD2E4D" w:rsidP="009924D9">
      <w:pPr>
        <w:numPr>
          <w:ilvl w:val="0"/>
          <w:numId w:val="16"/>
        </w:numPr>
        <w:tabs>
          <w:tab w:val="left" w:pos="860"/>
        </w:tabs>
        <w:spacing w:after="0" w:line="240" w:lineRule="auto"/>
        <w:ind w:left="860" w:right="20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Carry out surveys on SGBV prevention and response mechanisms in the Authority; and</w:t>
      </w:r>
    </w:p>
    <w:p w14:paraId="633B5779" w14:textId="77777777" w:rsidR="00FD2E4D" w:rsidRPr="009B4F53" w:rsidRDefault="00FD2E4D" w:rsidP="009924D9">
      <w:pPr>
        <w:numPr>
          <w:ilvl w:val="0"/>
          <w:numId w:val="16"/>
        </w:numPr>
        <w:tabs>
          <w:tab w:val="left" w:pos="860"/>
        </w:tabs>
        <w:spacing w:after="0" w:line="240" w:lineRule="auto"/>
        <w:ind w:left="860" w:right="20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Submit quarterly reports to the appointing Authority, NGEC, and share a copy with the State Department for Gender Affairs.</w:t>
      </w:r>
    </w:p>
    <w:p w14:paraId="76979D16" w14:textId="77777777" w:rsidR="00FD2E4D" w:rsidRPr="009B4F53" w:rsidRDefault="00FD2E4D" w:rsidP="00FD2E4D">
      <w:pPr>
        <w:tabs>
          <w:tab w:val="left" w:pos="860"/>
        </w:tabs>
        <w:spacing w:after="0" w:line="240" w:lineRule="auto"/>
        <w:jc w:val="both"/>
        <w:rPr>
          <w:rFonts w:ascii="Times New Roman" w:eastAsia="Arial" w:hAnsi="Times New Roman" w:cs="Times New Roman"/>
          <w:sz w:val="23"/>
          <w:szCs w:val="23"/>
        </w:rPr>
      </w:pPr>
    </w:p>
    <w:p w14:paraId="317256EB" w14:textId="77777777" w:rsidR="00FD2E4D" w:rsidRPr="009B4F53" w:rsidRDefault="00FD2E4D" w:rsidP="00FD2E4D">
      <w:pPr>
        <w:tabs>
          <w:tab w:val="left" w:pos="3489"/>
        </w:tabs>
        <w:spacing w:after="0" w:line="240" w:lineRule="auto"/>
        <w:ind w:right="380"/>
        <w:jc w:val="both"/>
        <w:rPr>
          <w:rFonts w:ascii="Times New Roman" w:eastAsia="Arial" w:hAnsi="Times New Roman" w:cs="Times New Roman"/>
          <w:b/>
          <w:sz w:val="23"/>
          <w:szCs w:val="23"/>
        </w:rPr>
      </w:pPr>
      <w:r w:rsidRPr="009B4F53">
        <w:rPr>
          <w:rFonts w:ascii="Times New Roman" w:eastAsia="Arial" w:hAnsi="Times New Roman" w:cs="Times New Roman"/>
          <w:b/>
          <w:sz w:val="23"/>
          <w:szCs w:val="23"/>
        </w:rPr>
        <w:t>ICT Authority employees</w:t>
      </w:r>
    </w:p>
    <w:p w14:paraId="2DD5E732" w14:textId="77777777" w:rsidR="00306B0C" w:rsidRPr="009B4F53" w:rsidRDefault="00306B0C" w:rsidP="00FD2E4D">
      <w:pPr>
        <w:tabs>
          <w:tab w:val="left" w:pos="3489"/>
        </w:tabs>
        <w:spacing w:after="0" w:line="240" w:lineRule="auto"/>
        <w:ind w:right="380"/>
        <w:jc w:val="both"/>
        <w:rPr>
          <w:rFonts w:ascii="Times New Roman" w:eastAsia="Arial" w:hAnsi="Times New Roman" w:cs="Times New Roman"/>
          <w:b/>
          <w:sz w:val="23"/>
          <w:szCs w:val="23"/>
        </w:rPr>
      </w:pPr>
    </w:p>
    <w:p w14:paraId="04269E5D" w14:textId="615B47DD" w:rsidR="00FD2E4D" w:rsidRPr="009B4F53" w:rsidRDefault="00FD2E4D" w:rsidP="009924D9">
      <w:pPr>
        <w:numPr>
          <w:ilvl w:val="0"/>
          <w:numId w:val="17"/>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Familiarize and adhere to the provisions of this Policy;</w:t>
      </w:r>
    </w:p>
    <w:p w14:paraId="0D3EF46A" w14:textId="304DCE1B" w:rsidR="00FD2E4D" w:rsidRPr="009B4F53" w:rsidRDefault="00FD2E4D" w:rsidP="009924D9">
      <w:pPr>
        <w:numPr>
          <w:ilvl w:val="0"/>
          <w:numId w:val="17"/>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Participate in SGBV Capacity Building Programs and activities; and</w:t>
      </w:r>
    </w:p>
    <w:p w14:paraId="43333DE1" w14:textId="77777777" w:rsidR="00FD2E4D" w:rsidRPr="009B4F53" w:rsidRDefault="00FD2E4D" w:rsidP="009924D9">
      <w:pPr>
        <w:numPr>
          <w:ilvl w:val="0"/>
          <w:numId w:val="17"/>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Report any cases of SGBV to the Committee.</w:t>
      </w:r>
    </w:p>
    <w:p w14:paraId="1FD9C37F" w14:textId="77777777" w:rsidR="00FD2E4D" w:rsidRPr="009B4F53" w:rsidRDefault="00FD2E4D" w:rsidP="00FD2E4D">
      <w:pPr>
        <w:tabs>
          <w:tab w:val="left" w:pos="3489"/>
        </w:tabs>
        <w:spacing w:after="0" w:line="240" w:lineRule="auto"/>
        <w:ind w:right="380"/>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ab/>
      </w:r>
    </w:p>
    <w:p w14:paraId="405ABEEE" w14:textId="7864B489" w:rsidR="00060A2A" w:rsidRPr="009B4F53" w:rsidRDefault="00060A2A" w:rsidP="00060A2A">
      <w:pPr>
        <w:tabs>
          <w:tab w:val="left" w:pos="3489"/>
        </w:tabs>
        <w:spacing w:after="0" w:line="240" w:lineRule="auto"/>
        <w:ind w:right="380"/>
        <w:jc w:val="both"/>
        <w:rPr>
          <w:rFonts w:ascii="Times New Roman" w:eastAsia="Arial" w:hAnsi="Times New Roman" w:cs="Times New Roman"/>
          <w:b/>
          <w:sz w:val="23"/>
          <w:szCs w:val="23"/>
        </w:rPr>
      </w:pPr>
      <w:r w:rsidRPr="009B4F53">
        <w:rPr>
          <w:rFonts w:ascii="Times New Roman" w:eastAsia="Arial" w:hAnsi="Times New Roman" w:cs="Times New Roman"/>
          <w:b/>
          <w:sz w:val="23"/>
          <w:szCs w:val="23"/>
        </w:rPr>
        <w:t xml:space="preserve">Project consultants, contractors and </w:t>
      </w:r>
      <w:r w:rsidR="00FE4364" w:rsidRPr="009B4F53">
        <w:rPr>
          <w:rFonts w:ascii="Times New Roman" w:eastAsia="Arial" w:hAnsi="Times New Roman" w:cs="Times New Roman"/>
          <w:b/>
          <w:sz w:val="23"/>
          <w:szCs w:val="23"/>
        </w:rPr>
        <w:t>suppliers</w:t>
      </w:r>
    </w:p>
    <w:p w14:paraId="745B8D12" w14:textId="77777777" w:rsidR="00060A2A" w:rsidRPr="009B4F53" w:rsidRDefault="00060A2A" w:rsidP="00060A2A">
      <w:pPr>
        <w:tabs>
          <w:tab w:val="left" w:pos="3489"/>
        </w:tabs>
        <w:spacing w:after="0" w:line="240" w:lineRule="auto"/>
        <w:ind w:right="380"/>
        <w:jc w:val="both"/>
        <w:rPr>
          <w:rFonts w:ascii="Times New Roman" w:eastAsia="Arial" w:hAnsi="Times New Roman" w:cs="Times New Roman"/>
          <w:b/>
          <w:sz w:val="23"/>
          <w:szCs w:val="23"/>
        </w:rPr>
      </w:pPr>
    </w:p>
    <w:p w14:paraId="676F4A5C" w14:textId="3926FDB3" w:rsidR="00060A2A" w:rsidRPr="009B4F53" w:rsidRDefault="00060A2A" w:rsidP="009924D9">
      <w:pPr>
        <w:numPr>
          <w:ilvl w:val="0"/>
          <w:numId w:val="27"/>
        </w:numPr>
        <w:tabs>
          <w:tab w:val="left" w:pos="860"/>
        </w:tabs>
        <w:spacing w:after="0" w:line="240" w:lineRule="auto"/>
        <w:ind w:left="810" w:hanging="270"/>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 xml:space="preserve">Familiarize and adhere to the provisions of this the SGBV Policy and the project </w:t>
      </w:r>
      <w:r w:rsidR="00044A18" w:rsidRPr="009B4F53">
        <w:rPr>
          <w:rFonts w:ascii="Times New Roman" w:hAnsi="Times New Roman" w:cs="Times New Roman"/>
          <w:sz w:val="23"/>
          <w:szCs w:val="23"/>
        </w:rPr>
        <w:t>SEA/SH Prevention and Response Action Plan</w:t>
      </w:r>
      <w:r w:rsidRPr="009B4F53">
        <w:rPr>
          <w:rFonts w:ascii="Times New Roman" w:eastAsia="Arial" w:hAnsi="Times New Roman" w:cs="Times New Roman"/>
          <w:sz w:val="23"/>
          <w:szCs w:val="23"/>
        </w:rPr>
        <w:t>;</w:t>
      </w:r>
    </w:p>
    <w:p w14:paraId="7F5D9CF9" w14:textId="3B4ED3A8" w:rsidR="00060A2A" w:rsidRPr="009B4F53" w:rsidRDefault="00060A2A" w:rsidP="009924D9">
      <w:pPr>
        <w:numPr>
          <w:ilvl w:val="0"/>
          <w:numId w:val="27"/>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Participate in SGBV Capacity Building Programs and activities; and</w:t>
      </w:r>
    </w:p>
    <w:p w14:paraId="455BEFEC" w14:textId="65D3841C" w:rsidR="00060A2A" w:rsidRPr="009B4F53" w:rsidRDefault="00060A2A" w:rsidP="009924D9">
      <w:pPr>
        <w:numPr>
          <w:ilvl w:val="0"/>
          <w:numId w:val="27"/>
        </w:numPr>
        <w:tabs>
          <w:tab w:val="left" w:pos="860"/>
        </w:tabs>
        <w:spacing w:after="0" w:line="240" w:lineRule="auto"/>
        <w:ind w:left="860" w:hanging="424"/>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Report any cases of SGBV to the ICTA.</w:t>
      </w:r>
    </w:p>
    <w:p w14:paraId="4FA6C89F" w14:textId="77777777" w:rsidR="00FD2E4D" w:rsidRPr="009B4F53" w:rsidRDefault="00FD2E4D" w:rsidP="00FD2E4D">
      <w:pPr>
        <w:spacing w:after="0" w:line="240" w:lineRule="auto"/>
        <w:jc w:val="both"/>
        <w:rPr>
          <w:rFonts w:ascii="Times New Roman" w:eastAsia="Arial" w:hAnsi="Times New Roman" w:cs="Times New Roman"/>
          <w:sz w:val="23"/>
          <w:szCs w:val="23"/>
        </w:rPr>
      </w:pPr>
    </w:p>
    <w:p w14:paraId="4D3E40ED" w14:textId="69464445" w:rsidR="00FD2E4D" w:rsidRPr="009B4F53" w:rsidRDefault="00FD2E4D" w:rsidP="007017E6">
      <w:pPr>
        <w:pStyle w:val="Heading2"/>
        <w:rPr>
          <w:sz w:val="23"/>
          <w:szCs w:val="23"/>
        </w:rPr>
      </w:pPr>
      <w:bookmarkStart w:id="42" w:name="_Toc70504886"/>
      <w:bookmarkStart w:id="43" w:name="_Toc141127714"/>
      <w:r w:rsidRPr="009B4F53">
        <w:rPr>
          <w:sz w:val="23"/>
          <w:szCs w:val="23"/>
        </w:rPr>
        <w:t xml:space="preserve">Monitoring and Evaluation of the </w:t>
      </w:r>
      <w:r w:rsidR="00060A2A" w:rsidRPr="009B4F53">
        <w:rPr>
          <w:sz w:val="23"/>
          <w:szCs w:val="23"/>
        </w:rPr>
        <w:t xml:space="preserve">SGBV </w:t>
      </w:r>
      <w:r w:rsidRPr="009B4F53">
        <w:rPr>
          <w:sz w:val="23"/>
          <w:szCs w:val="23"/>
        </w:rPr>
        <w:t>Policy</w:t>
      </w:r>
      <w:bookmarkEnd w:id="42"/>
      <w:r w:rsidR="00060A2A" w:rsidRPr="009B4F53">
        <w:rPr>
          <w:sz w:val="23"/>
          <w:szCs w:val="23"/>
        </w:rPr>
        <w:t xml:space="preserve"> and the </w:t>
      </w:r>
      <w:r w:rsidR="00D356E0" w:rsidRPr="009B4F53">
        <w:rPr>
          <w:sz w:val="23"/>
          <w:szCs w:val="23"/>
        </w:rPr>
        <w:t>SEA/SH Prevention and Response Action Plan</w:t>
      </w:r>
      <w:bookmarkEnd w:id="43"/>
    </w:p>
    <w:p w14:paraId="13C2A65D" w14:textId="77777777" w:rsidR="007017E6" w:rsidRPr="009B4F53" w:rsidRDefault="007017E6" w:rsidP="007017E6">
      <w:pPr>
        <w:spacing w:after="0" w:line="240" w:lineRule="auto"/>
        <w:rPr>
          <w:rFonts w:ascii="Times New Roman" w:hAnsi="Times New Roman" w:cs="Times New Roman"/>
          <w:sz w:val="23"/>
          <w:szCs w:val="23"/>
        </w:rPr>
      </w:pPr>
    </w:p>
    <w:p w14:paraId="098684AB" w14:textId="13B4E3ED" w:rsidR="00FD2E4D" w:rsidRPr="009B4F53" w:rsidRDefault="00FD2E4D" w:rsidP="007017E6">
      <w:pPr>
        <w:spacing w:after="0" w:line="240" w:lineRule="auto"/>
        <w:jc w:val="both"/>
        <w:rPr>
          <w:rFonts w:ascii="Times New Roman" w:eastAsia="Arial" w:hAnsi="Times New Roman" w:cs="Times New Roman"/>
          <w:sz w:val="23"/>
          <w:szCs w:val="23"/>
        </w:rPr>
      </w:pPr>
      <w:r w:rsidRPr="009B4F53">
        <w:rPr>
          <w:rFonts w:ascii="Times New Roman" w:eastAsia="Arial" w:hAnsi="Times New Roman" w:cs="Times New Roman"/>
          <w:sz w:val="23"/>
          <w:szCs w:val="23"/>
        </w:rPr>
        <w:t xml:space="preserve">For efficient and effective coordination and implementation of the policy, </w:t>
      </w:r>
      <w:r w:rsidR="00060A2A" w:rsidRPr="009B4F53">
        <w:rPr>
          <w:rFonts w:ascii="Times New Roman" w:eastAsia="Arial" w:hAnsi="Times New Roman" w:cs="Times New Roman"/>
          <w:sz w:val="23"/>
          <w:szCs w:val="23"/>
        </w:rPr>
        <w:t xml:space="preserve">and the </w:t>
      </w:r>
      <w:r w:rsidR="007017E6" w:rsidRPr="009B4F53">
        <w:rPr>
          <w:rFonts w:ascii="Times New Roman" w:hAnsi="Times New Roman" w:cs="Times New Roman"/>
          <w:sz w:val="23"/>
          <w:szCs w:val="23"/>
        </w:rPr>
        <w:t xml:space="preserve">SEA/SH Prevention and Response Action Plan </w:t>
      </w:r>
      <w:r w:rsidRPr="009B4F53">
        <w:rPr>
          <w:rFonts w:ascii="Times New Roman" w:eastAsia="Arial" w:hAnsi="Times New Roman" w:cs="Times New Roman"/>
          <w:sz w:val="23"/>
          <w:szCs w:val="23"/>
        </w:rPr>
        <w:t xml:space="preserve">monitoring and evaluation shall be critical in achieving the laid down strategies. Implementation shall be monitored </w:t>
      </w:r>
      <w:r w:rsidR="00727DF5" w:rsidRPr="009B4F53">
        <w:rPr>
          <w:rFonts w:ascii="Times New Roman" w:eastAsia="Arial" w:hAnsi="Times New Roman" w:cs="Times New Roman"/>
          <w:sz w:val="23"/>
          <w:szCs w:val="23"/>
        </w:rPr>
        <w:t>quarterly</w:t>
      </w:r>
      <w:r w:rsidRPr="009B4F53">
        <w:rPr>
          <w:rFonts w:ascii="Times New Roman" w:eastAsia="Arial" w:hAnsi="Times New Roman" w:cs="Times New Roman"/>
          <w:sz w:val="23"/>
          <w:szCs w:val="23"/>
        </w:rPr>
        <w:t xml:space="preserve"> and annually evaluated to measure progress. The key responsibility for monitoring and evaluation remains with the Gender Office and the Gender Mainstreaming Committee. However, each </w:t>
      </w:r>
      <w:r w:rsidR="009B4F53" w:rsidRPr="009B4F53">
        <w:rPr>
          <w:rFonts w:ascii="Times New Roman" w:eastAsia="Arial" w:hAnsi="Times New Roman" w:cs="Times New Roman"/>
          <w:sz w:val="23"/>
          <w:szCs w:val="23"/>
        </w:rPr>
        <w:t>department/division/section and regional office shall be expected to submit quarterly reports fo</w:t>
      </w:r>
      <w:r w:rsidRPr="009B4F53">
        <w:rPr>
          <w:rFonts w:ascii="Times New Roman" w:eastAsia="Arial" w:hAnsi="Times New Roman" w:cs="Times New Roman"/>
          <w:sz w:val="23"/>
          <w:szCs w:val="23"/>
        </w:rPr>
        <w:t>r compilation.</w:t>
      </w:r>
    </w:p>
    <w:p w14:paraId="4C0FD733" w14:textId="77777777" w:rsidR="005E69AC" w:rsidRPr="009B4F53" w:rsidRDefault="005E69AC" w:rsidP="00FD2E4D">
      <w:pPr>
        <w:spacing w:after="0" w:line="240" w:lineRule="auto"/>
        <w:jc w:val="both"/>
        <w:rPr>
          <w:rFonts w:ascii="Times New Roman" w:hAnsi="Times New Roman" w:cs="Times New Roman"/>
          <w:sz w:val="23"/>
          <w:szCs w:val="23"/>
        </w:rPr>
      </w:pPr>
    </w:p>
    <w:p w14:paraId="00E02E39" w14:textId="77777777" w:rsidR="00E40716" w:rsidRPr="009B4F53" w:rsidRDefault="00E40716" w:rsidP="00FD2E4D">
      <w:pPr>
        <w:spacing w:after="0" w:line="240" w:lineRule="auto"/>
        <w:jc w:val="both"/>
        <w:rPr>
          <w:rFonts w:ascii="Times New Roman" w:hAnsi="Times New Roman" w:cs="Times New Roman"/>
          <w:sz w:val="23"/>
          <w:szCs w:val="23"/>
        </w:rPr>
      </w:pPr>
    </w:p>
    <w:p w14:paraId="3359F1D3" w14:textId="77777777" w:rsidR="00E40716" w:rsidRPr="009B4F53" w:rsidRDefault="00E40716" w:rsidP="00FD2E4D">
      <w:pPr>
        <w:spacing w:after="0" w:line="240" w:lineRule="auto"/>
        <w:jc w:val="both"/>
        <w:rPr>
          <w:rFonts w:ascii="Times New Roman" w:hAnsi="Times New Roman" w:cs="Times New Roman"/>
          <w:sz w:val="23"/>
          <w:szCs w:val="23"/>
        </w:rPr>
      </w:pPr>
    </w:p>
    <w:p w14:paraId="1C9EF4D3" w14:textId="77777777" w:rsidR="00E40716" w:rsidRPr="009B4F53" w:rsidRDefault="00E40716" w:rsidP="00FD2E4D">
      <w:pPr>
        <w:spacing w:after="0" w:line="240" w:lineRule="auto"/>
        <w:jc w:val="both"/>
        <w:rPr>
          <w:rFonts w:ascii="Times New Roman" w:hAnsi="Times New Roman" w:cs="Times New Roman"/>
          <w:sz w:val="23"/>
          <w:szCs w:val="23"/>
        </w:rPr>
      </w:pPr>
    </w:p>
    <w:p w14:paraId="1922FCB9" w14:textId="77777777" w:rsidR="00E40716" w:rsidRPr="009B4F53" w:rsidRDefault="00E40716" w:rsidP="00FD2E4D">
      <w:pPr>
        <w:spacing w:after="0" w:line="240" w:lineRule="auto"/>
        <w:jc w:val="both"/>
        <w:rPr>
          <w:rFonts w:ascii="Times New Roman" w:hAnsi="Times New Roman" w:cs="Times New Roman"/>
          <w:sz w:val="23"/>
          <w:szCs w:val="23"/>
        </w:rPr>
        <w:sectPr w:rsidR="00E40716" w:rsidRPr="009B4F53" w:rsidSect="004028DC">
          <w:pgSz w:w="11900" w:h="16840" w:code="9"/>
          <w:pgMar w:top="1440" w:right="1440" w:bottom="1440" w:left="1440" w:header="720" w:footer="720" w:gutter="0"/>
          <w:cols w:space="720"/>
          <w:docGrid w:linePitch="360"/>
        </w:sectPr>
      </w:pPr>
    </w:p>
    <w:p w14:paraId="1A5A187C" w14:textId="0F9308FC" w:rsidR="00FE4364" w:rsidRPr="009B4F53" w:rsidRDefault="00E40716" w:rsidP="0000255F">
      <w:pPr>
        <w:spacing w:after="0" w:line="240" w:lineRule="auto"/>
        <w:jc w:val="both"/>
        <w:rPr>
          <w:rFonts w:ascii="Times New Roman" w:hAnsi="Times New Roman" w:cs="Times New Roman"/>
          <w:b/>
          <w:bCs/>
          <w:sz w:val="23"/>
          <w:szCs w:val="23"/>
        </w:rPr>
      </w:pPr>
      <w:r w:rsidRPr="009B4F53">
        <w:rPr>
          <w:rFonts w:ascii="Times New Roman" w:hAnsi="Times New Roman" w:cs="Times New Roman"/>
          <w:b/>
          <w:bCs/>
          <w:sz w:val="23"/>
          <w:szCs w:val="23"/>
        </w:rPr>
        <w:lastRenderedPageBreak/>
        <w:t xml:space="preserve">Table </w:t>
      </w:r>
      <w:r w:rsidRPr="009B4F53">
        <w:rPr>
          <w:rFonts w:ascii="Times New Roman" w:hAnsi="Times New Roman" w:cs="Times New Roman"/>
          <w:b/>
          <w:bCs/>
          <w:sz w:val="23"/>
          <w:szCs w:val="23"/>
        </w:rPr>
        <w:fldChar w:fldCharType="begin"/>
      </w:r>
      <w:r w:rsidRPr="009B4F53">
        <w:rPr>
          <w:rFonts w:ascii="Times New Roman" w:hAnsi="Times New Roman" w:cs="Times New Roman"/>
          <w:b/>
          <w:bCs/>
          <w:sz w:val="23"/>
          <w:szCs w:val="23"/>
        </w:rPr>
        <w:instrText xml:space="preserve"> SEQ Table \* ARABIC </w:instrText>
      </w:r>
      <w:r w:rsidRPr="009B4F53">
        <w:rPr>
          <w:rFonts w:ascii="Times New Roman" w:hAnsi="Times New Roman" w:cs="Times New Roman"/>
          <w:b/>
          <w:bCs/>
          <w:sz w:val="23"/>
          <w:szCs w:val="23"/>
        </w:rPr>
        <w:fldChar w:fldCharType="separate"/>
      </w:r>
      <w:r w:rsidR="00F60A76" w:rsidRPr="009B4F53">
        <w:rPr>
          <w:rFonts w:ascii="Times New Roman" w:hAnsi="Times New Roman" w:cs="Times New Roman"/>
          <w:b/>
          <w:bCs/>
          <w:noProof/>
          <w:sz w:val="23"/>
          <w:szCs w:val="23"/>
        </w:rPr>
        <w:t>2</w:t>
      </w:r>
      <w:r w:rsidRPr="009B4F53">
        <w:rPr>
          <w:rFonts w:ascii="Times New Roman" w:hAnsi="Times New Roman" w:cs="Times New Roman"/>
          <w:sz w:val="23"/>
          <w:szCs w:val="23"/>
        </w:rPr>
        <w:fldChar w:fldCharType="end"/>
      </w:r>
      <w:r w:rsidRPr="009B4F53">
        <w:rPr>
          <w:rFonts w:ascii="Times New Roman" w:hAnsi="Times New Roman" w:cs="Times New Roman"/>
          <w:b/>
          <w:bCs/>
          <w:sz w:val="23"/>
          <w:szCs w:val="23"/>
        </w:rPr>
        <w:t xml:space="preserve"> : </w:t>
      </w:r>
      <w:r w:rsidR="00F7581C" w:rsidRPr="009B4F53">
        <w:rPr>
          <w:rFonts w:ascii="Times New Roman" w:hAnsi="Times New Roman" w:cs="Times New Roman"/>
          <w:b/>
          <w:bCs/>
          <w:sz w:val="23"/>
          <w:szCs w:val="23"/>
        </w:rPr>
        <w:t>SEA/SH Prevention and Response Action Plan</w:t>
      </w:r>
      <w:r w:rsidR="00F7581C" w:rsidRPr="009B4F53">
        <w:rPr>
          <w:rFonts w:ascii="Times New Roman" w:hAnsi="Times New Roman" w:cs="Times New Roman"/>
          <w:sz w:val="23"/>
          <w:szCs w:val="23"/>
        </w:rPr>
        <w:t xml:space="preserve"> </w:t>
      </w:r>
      <w:r w:rsidRPr="009B4F53">
        <w:rPr>
          <w:rFonts w:ascii="Times New Roman" w:hAnsi="Times New Roman" w:cs="Times New Roman"/>
          <w:b/>
          <w:bCs/>
          <w:sz w:val="23"/>
          <w:szCs w:val="23"/>
        </w:rPr>
        <w:t>Matrix</w:t>
      </w:r>
    </w:p>
    <w:tbl>
      <w:tblPr>
        <w:tblStyle w:val="TableGrid"/>
        <w:tblW w:w="14502" w:type="dxa"/>
        <w:tblLayout w:type="fixed"/>
        <w:tblLook w:val="04A0" w:firstRow="1" w:lastRow="0" w:firstColumn="1" w:lastColumn="0" w:noHBand="0" w:noVBand="1"/>
      </w:tblPr>
      <w:tblGrid>
        <w:gridCol w:w="625"/>
        <w:gridCol w:w="2861"/>
        <w:gridCol w:w="3486"/>
        <w:gridCol w:w="1393"/>
        <w:gridCol w:w="1744"/>
        <w:gridCol w:w="1226"/>
        <w:gridCol w:w="1890"/>
        <w:gridCol w:w="1260"/>
        <w:gridCol w:w="17"/>
      </w:tblGrid>
      <w:tr w:rsidR="00090752" w:rsidRPr="002372C6" w14:paraId="088D7619" w14:textId="77777777" w:rsidTr="0053761E">
        <w:trPr>
          <w:gridAfter w:val="1"/>
          <w:wAfter w:w="17" w:type="dxa"/>
        </w:trPr>
        <w:tc>
          <w:tcPr>
            <w:tcW w:w="625" w:type="dxa"/>
          </w:tcPr>
          <w:p w14:paraId="17597155" w14:textId="77777777" w:rsidR="00090752" w:rsidRPr="002372C6" w:rsidRDefault="00090752" w:rsidP="00090752">
            <w:pPr>
              <w:jc w:val="both"/>
              <w:rPr>
                <w:rFonts w:ascii="Times New Roman" w:hAnsi="Times New Roman" w:cs="Times New Roman"/>
                <w:b/>
                <w:bCs/>
              </w:rPr>
            </w:pPr>
          </w:p>
        </w:tc>
        <w:tc>
          <w:tcPr>
            <w:tcW w:w="2861" w:type="dxa"/>
          </w:tcPr>
          <w:p w14:paraId="5D5D7C4E" w14:textId="764FF23F" w:rsidR="00090752" w:rsidRPr="002372C6" w:rsidRDefault="00090752" w:rsidP="00090752">
            <w:pPr>
              <w:jc w:val="both"/>
              <w:rPr>
                <w:rFonts w:ascii="Times New Roman" w:hAnsi="Times New Roman" w:cs="Times New Roman"/>
                <w:b/>
                <w:bCs/>
              </w:rPr>
            </w:pPr>
            <w:r w:rsidRPr="002372C6">
              <w:rPr>
                <w:rFonts w:ascii="Times New Roman" w:hAnsi="Times New Roman" w:cs="Times New Roman"/>
                <w:b/>
              </w:rPr>
              <w:t>Activities to be taken to Address SEA/SH risk</w:t>
            </w:r>
          </w:p>
        </w:tc>
        <w:tc>
          <w:tcPr>
            <w:tcW w:w="3486" w:type="dxa"/>
          </w:tcPr>
          <w:p w14:paraId="66769F8A" w14:textId="640E668E" w:rsidR="00090752" w:rsidRPr="002372C6" w:rsidRDefault="00090752" w:rsidP="00090752">
            <w:pPr>
              <w:jc w:val="both"/>
              <w:rPr>
                <w:rFonts w:ascii="Times New Roman" w:hAnsi="Times New Roman" w:cs="Times New Roman"/>
                <w:b/>
                <w:bCs/>
              </w:rPr>
            </w:pPr>
            <w:r w:rsidRPr="002372C6">
              <w:rPr>
                <w:rFonts w:ascii="Times New Roman" w:hAnsi="Times New Roman" w:cs="Times New Roman"/>
                <w:b/>
                <w:bCs/>
              </w:rPr>
              <w:t>Steps to be taken</w:t>
            </w:r>
          </w:p>
        </w:tc>
        <w:tc>
          <w:tcPr>
            <w:tcW w:w="1393" w:type="dxa"/>
          </w:tcPr>
          <w:p w14:paraId="6FD35DDA" w14:textId="3FF83F11" w:rsidR="00090752" w:rsidRPr="002372C6" w:rsidRDefault="00090752" w:rsidP="00090752">
            <w:pPr>
              <w:jc w:val="both"/>
              <w:rPr>
                <w:rFonts w:ascii="Times New Roman" w:hAnsi="Times New Roman" w:cs="Times New Roman"/>
                <w:b/>
                <w:bCs/>
              </w:rPr>
            </w:pPr>
            <w:r w:rsidRPr="002372C6">
              <w:rPr>
                <w:rFonts w:ascii="Times New Roman" w:hAnsi="Times New Roman" w:cs="Times New Roman"/>
                <w:b/>
              </w:rPr>
              <w:t>Timelines</w:t>
            </w:r>
          </w:p>
        </w:tc>
        <w:tc>
          <w:tcPr>
            <w:tcW w:w="1744" w:type="dxa"/>
          </w:tcPr>
          <w:p w14:paraId="1AC4638B" w14:textId="31983B61" w:rsidR="00090752" w:rsidRPr="002372C6" w:rsidRDefault="00090752" w:rsidP="00090752">
            <w:pPr>
              <w:jc w:val="both"/>
              <w:rPr>
                <w:rFonts w:ascii="Times New Roman" w:hAnsi="Times New Roman" w:cs="Times New Roman"/>
                <w:b/>
                <w:bCs/>
              </w:rPr>
            </w:pPr>
            <w:r w:rsidRPr="002372C6">
              <w:rPr>
                <w:rFonts w:ascii="Times New Roman" w:hAnsi="Times New Roman" w:cs="Times New Roman"/>
                <w:b/>
              </w:rPr>
              <w:t>Responsible</w:t>
            </w:r>
          </w:p>
        </w:tc>
        <w:tc>
          <w:tcPr>
            <w:tcW w:w="1226" w:type="dxa"/>
          </w:tcPr>
          <w:p w14:paraId="7B2B7BF9" w14:textId="382AC7AA" w:rsidR="00090752" w:rsidRPr="002372C6" w:rsidRDefault="00090752" w:rsidP="00090752">
            <w:pPr>
              <w:jc w:val="both"/>
              <w:rPr>
                <w:rFonts w:ascii="Times New Roman" w:hAnsi="Times New Roman" w:cs="Times New Roman"/>
                <w:b/>
                <w:bCs/>
              </w:rPr>
            </w:pPr>
            <w:r w:rsidRPr="002372C6">
              <w:rPr>
                <w:rFonts w:ascii="Times New Roman" w:hAnsi="Times New Roman" w:cs="Times New Roman"/>
                <w:b/>
              </w:rPr>
              <w:t>Monitoring (Who will monitor)</w:t>
            </w:r>
          </w:p>
        </w:tc>
        <w:tc>
          <w:tcPr>
            <w:tcW w:w="1890" w:type="dxa"/>
          </w:tcPr>
          <w:p w14:paraId="4E3FED4D" w14:textId="5C3A8CEA" w:rsidR="00090752" w:rsidRPr="002372C6" w:rsidRDefault="00090752" w:rsidP="00090752">
            <w:pPr>
              <w:jc w:val="both"/>
              <w:rPr>
                <w:rFonts w:ascii="Times New Roman" w:hAnsi="Times New Roman" w:cs="Times New Roman"/>
                <w:b/>
                <w:bCs/>
              </w:rPr>
            </w:pPr>
            <w:r w:rsidRPr="002372C6">
              <w:rPr>
                <w:rFonts w:ascii="Times New Roman" w:hAnsi="Times New Roman" w:cs="Times New Roman"/>
                <w:b/>
              </w:rPr>
              <w:t>Output Indicators</w:t>
            </w:r>
          </w:p>
        </w:tc>
        <w:tc>
          <w:tcPr>
            <w:tcW w:w="1260" w:type="dxa"/>
          </w:tcPr>
          <w:p w14:paraId="057F87E8" w14:textId="58692F86" w:rsidR="00090752" w:rsidRPr="002372C6" w:rsidRDefault="00090752" w:rsidP="00090752">
            <w:pPr>
              <w:jc w:val="both"/>
              <w:rPr>
                <w:rFonts w:ascii="Times New Roman" w:hAnsi="Times New Roman" w:cs="Times New Roman"/>
                <w:b/>
                <w:bCs/>
              </w:rPr>
            </w:pPr>
            <w:r w:rsidRPr="002372C6">
              <w:rPr>
                <w:rFonts w:ascii="Times New Roman" w:hAnsi="Times New Roman" w:cs="Times New Roman"/>
                <w:b/>
              </w:rPr>
              <w:t>Estimated Budget (country currency)</w:t>
            </w:r>
          </w:p>
        </w:tc>
      </w:tr>
      <w:tr w:rsidR="00090752" w:rsidRPr="002372C6" w14:paraId="16966110" w14:textId="77777777" w:rsidTr="0053761E">
        <w:tc>
          <w:tcPr>
            <w:tcW w:w="625" w:type="dxa"/>
          </w:tcPr>
          <w:p w14:paraId="35F85401" w14:textId="3EF5C0BE" w:rsidR="00090752" w:rsidRPr="002372C6" w:rsidRDefault="000E3287" w:rsidP="0000255F">
            <w:pPr>
              <w:jc w:val="both"/>
              <w:rPr>
                <w:rFonts w:ascii="Times New Roman" w:hAnsi="Times New Roman" w:cs="Times New Roman"/>
                <w:b/>
                <w:bCs/>
              </w:rPr>
            </w:pPr>
            <w:r w:rsidRPr="002372C6">
              <w:rPr>
                <w:rFonts w:ascii="Times New Roman" w:hAnsi="Times New Roman" w:cs="Times New Roman"/>
                <w:b/>
                <w:bCs/>
              </w:rPr>
              <w:t xml:space="preserve">1. </w:t>
            </w:r>
          </w:p>
        </w:tc>
        <w:tc>
          <w:tcPr>
            <w:tcW w:w="13877" w:type="dxa"/>
            <w:gridSpan w:val="8"/>
          </w:tcPr>
          <w:p w14:paraId="137BFC9A" w14:textId="5AB5C9CD" w:rsidR="00090752" w:rsidRPr="002372C6" w:rsidRDefault="0021619A" w:rsidP="0000255F">
            <w:pPr>
              <w:jc w:val="both"/>
              <w:rPr>
                <w:rFonts w:ascii="Times New Roman" w:hAnsi="Times New Roman" w:cs="Times New Roman"/>
                <w:b/>
                <w:bCs/>
              </w:rPr>
            </w:pPr>
            <w:r w:rsidRPr="002372C6">
              <w:rPr>
                <w:rFonts w:ascii="Times New Roman" w:hAnsi="Times New Roman" w:cs="Times New Roman"/>
                <w:b/>
                <w:bCs/>
              </w:rPr>
              <w:t>Sensitize project actors (project core team</w:t>
            </w:r>
            <w:r w:rsidR="00B91DBD" w:rsidRPr="002372C6">
              <w:rPr>
                <w:rFonts w:ascii="Times New Roman" w:hAnsi="Times New Roman" w:cs="Times New Roman"/>
                <w:b/>
                <w:bCs/>
              </w:rPr>
              <w:t xml:space="preserve">) on the important of addressing SEA/SH on the project and the mechanisms that will be implemented. </w:t>
            </w:r>
          </w:p>
        </w:tc>
      </w:tr>
      <w:tr w:rsidR="00D3570C" w:rsidRPr="002372C6" w14:paraId="27FA4EC1" w14:textId="77777777" w:rsidTr="0053761E">
        <w:trPr>
          <w:gridAfter w:val="1"/>
          <w:wAfter w:w="17" w:type="dxa"/>
        </w:trPr>
        <w:tc>
          <w:tcPr>
            <w:tcW w:w="625" w:type="dxa"/>
          </w:tcPr>
          <w:p w14:paraId="2216505F" w14:textId="77777777" w:rsidR="00D3570C" w:rsidRPr="002372C6" w:rsidRDefault="00D3570C" w:rsidP="009924D9">
            <w:pPr>
              <w:pStyle w:val="ListParagraph"/>
              <w:numPr>
                <w:ilvl w:val="0"/>
                <w:numId w:val="23"/>
              </w:numPr>
              <w:jc w:val="both"/>
              <w:rPr>
                <w:rFonts w:ascii="Times New Roman" w:hAnsi="Times New Roman" w:cs="Times New Roman"/>
              </w:rPr>
            </w:pPr>
          </w:p>
        </w:tc>
        <w:tc>
          <w:tcPr>
            <w:tcW w:w="2861" w:type="dxa"/>
          </w:tcPr>
          <w:p w14:paraId="4A599F10" w14:textId="77777777" w:rsidR="00D3570C" w:rsidRPr="002372C6" w:rsidRDefault="000E3287" w:rsidP="0000255F">
            <w:pPr>
              <w:jc w:val="both"/>
              <w:rPr>
                <w:rFonts w:ascii="Times New Roman" w:hAnsi="Times New Roman" w:cs="Times New Roman"/>
              </w:rPr>
            </w:pPr>
            <w:r w:rsidRPr="002372C6">
              <w:rPr>
                <w:rFonts w:ascii="Times New Roman" w:hAnsi="Times New Roman" w:cs="Times New Roman"/>
              </w:rPr>
              <w:t>Training on SEA/SH</w:t>
            </w:r>
            <w:r w:rsidR="00C072E3" w:rsidRPr="002372C6">
              <w:rPr>
                <w:rFonts w:ascii="Times New Roman" w:hAnsi="Times New Roman" w:cs="Times New Roman"/>
              </w:rPr>
              <w:t xml:space="preserve"> to include:</w:t>
            </w:r>
          </w:p>
          <w:p w14:paraId="0963CEA3" w14:textId="060A748B" w:rsidR="00C072E3" w:rsidRPr="002372C6" w:rsidRDefault="00C072E3" w:rsidP="009924D9">
            <w:pPr>
              <w:pStyle w:val="ListParagraph"/>
              <w:numPr>
                <w:ilvl w:val="0"/>
                <w:numId w:val="24"/>
              </w:numPr>
              <w:jc w:val="both"/>
              <w:rPr>
                <w:rFonts w:ascii="Times New Roman" w:hAnsi="Times New Roman" w:cs="Times New Roman"/>
              </w:rPr>
            </w:pPr>
            <w:r w:rsidRPr="002372C6">
              <w:rPr>
                <w:rFonts w:ascii="Times New Roman" w:hAnsi="Times New Roman" w:cs="Times New Roman"/>
              </w:rPr>
              <w:t>ICTA SGBV Policy</w:t>
            </w:r>
            <w:r w:rsidR="00830389" w:rsidRPr="002372C6">
              <w:rPr>
                <w:rFonts w:ascii="Times New Roman" w:hAnsi="Times New Roman" w:cs="Times New Roman"/>
              </w:rPr>
              <w:t>.</w:t>
            </w:r>
          </w:p>
          <w:p w14:paraId="71886988" w14:textId="77777777" w:rsidR="00C072E3" w:rsidRPr="002372C6" w:rsidRDefault="00C072E3" w:rsidP="009924D9">
            <w:pPr>
              <w:pStyle w:val="ListParagraph"/>
              <w:numPr>
                <w:ilvl w:val="0"/>
                <w:numId w:val="24"/>
              </w:numPr>
              <w:jc w:val="both"/>
              <w:rPr>
                <w:rFonts w:ascii="Times New Roman" w:hAnsi="Times New Roman" w:cs="Times New Roman"/>
              </w:rPr>
            </w:pPr>
            <w:r w:rsidRPr="002372C6">
              <w:rPr>
                <w:rFonts w:ascii="Times New Roman" w:hAnsi="Times New Roman" w:cs="Times New Roman"/>
              </w:rPr>
              <w:t xml:space="preserve">Accountability and response framework. </w:t>
            </w:r>
          </w:p>
          <w:p w14:paraId="3B4294E8" w14:textId="77777777" w:rsidR="00830389" w:rsidRPr="002372C6" w:rsidRDefault="00830389" w:rsidP="009924D9">
            <w:pPr>
              <w:pStyle w:val="ListParagraph"/>
              <w:numPr>
                <w:ilvl w:val="0"/>
                <w:numId w:val="24"/>
              </w:numPr>
              <w:jc w:val="both"/>
              <w:rPr>
                <w:rFonts w:ascii="Times New Roman" w:hAnsi="Times New Roman" w:cs="Times New Roman"/>
              </w:rPr>
            </w:pPr>
            <w:r w:rsidRPr="002372C6">
              <w:rPr>
                <w:rFonts w:ascii="Times New Roman" w:hAnsi="Times New Roman" w:cs="Times New Roman"/>
              </w:rPr>
              <w:t>Grievance mechanism and referral pathways.</w:t>
            </w:r>
          </w:p>
          <w:p w14:paraId="4D1610C5" w14:textId="1DA61697" w:rsidR="00830389" w:rsidRPr="002372C6" w:rsidRDefault="00830389" w:rsidP="009924D9">
            <w:pPr>
              <w:pStyle w:val="ListParagraph"/>
              <w:numPr>
                <w:ilvl w:val="0"/>
                <w:numId w:val="24"/>
              </w:numPr>
              <w:jc w:val="both"/>
              <w:rPr>
                <w:rFonts w:ascii="Times New Roman" w:hAnsi="Times New Roman" w:cs="Times New Roman"/>
              </w:rPr>
            </w:pPr>
            <w:r w:rsidRPr="002372C6">
              <w:rPr>
                <w:rFonts w:ascii="Times New Roman" w:hAnsi="Times New Roman" w:cs="Times New Roman"/>
              </w:rPr>
              <w:t xml:space="preserve">Confidentiality and </w:t>
            </w:r>
            <w:r w:rsidR="0071021F" w:rsidRPr="002372C6">
              <w:rPr>
                <w:rFonts w:ascii="Times New Roman" w:hAnsi="Times New Roman" w:cs="Times New Roman"/>
              </w:rPr>
              <w:t>whistle blower protection clauses.</w:t>
            </w:r>
          </w:p>
        </w:tc>
        <w:tc>
          <w:tcPr>
            <w:tcW w:w="3486" w:type="dxa"/>
          </w:tcPr>
          <w:p w14:paraId="4ADBB71B" w14:textId="0CE2003E" w:rsidR="00D3570C" w:rsidRPr="002372C6" w:rsidRDefault="0071021F" w:rsidP="0000255F">
            <w:pPr>
              <w:jc w:val="both"/>
              <w:rPr>
                <w:rFonts w:ascii="Times New Roman" w:hAnsi="Times New Roman" w:cs="Times New Roman"/>
              </w:rPr>
            </w:pPr>
            <w:r w:rsidRPr="002372C6">
              <w:rPr>
                <w:rFonts w:ascii="Times New Roman" w:hAnsi="Times New Roman" w:cs="Times New Roman"/>
              </w:rPr>
              <w:t>Develop SEA/SH training materials including PPT</w:t>
            </w:r>
            <w:r w:rsidR="00582DDD" w:rsidRPr="002372C6">
              <w:rPr>
                <w:rFonts w:ascii="Times New Roman" w:hAnsi="Times New Roman" w:cs="Times New Roman"/>
              </w:rPr>
              <w:t>, briefing notes for project officials</w:t>
            </w:r>
            <w:r w:rsidR="00D200E1" w:rsidRPr="002372C6">
              <w:rPr>
                <w:rFonts w:ascii="Times New Roman" w:hAnsi="Times New Roman" w:cs="Times New Roman"/>
              </w:rPr>
              <w:t>, supervising engineers, contractors, project</w:t>
            </w:r>
            <w:r w:rsidR="00582DDD" w:rsidRPr="002372C6">
              <w:rPr>
                <w:rFonts w:ascii="Times New Roman" w:hAnsi="Times New Roman" w:cs="Times New Roman"/>
              </w:rPr>
              <w:t xml:space="preserve"> workers</w:t>
            </w:r>
            <w:r w:rsidR="00D200E1" w:rsidRPr="002372C6">
              <w:rPr>
                <w:rFonts w:ascii="Times New Roman" w:hAnsi="Times New Roman" w:cs="Times New Roman"/>
              </w:rPr>
              <w:t xml:space="preserve"> and the grievance committees. </w:t>
            </w:r>
          </w:p>
          <w:p w14:paraId="3B806D09" w14:textId="77777777" w:rsidR="00D200E1" w:rsidRPr="002372C6" w:rsidRDefault="00D200E1" w:rsidP="0000255F">
            <w:pPr>
              <w:jc w:val="both"/>
              <w:rPr>
                <w:rFonts w:ascii="Times New Roman" w:hAnsi="Times New Roman" w:cs="Times New Roman"/>
              </w:rPr>
            </w:pPr>
          </w:p>
          <w:p w14:paraId="39E55C44" w14:textId="77777777" w:rsidR="00582DDD" w:rsidRPr="002372C6" w:rsidRDefault="00582DDD" w:rsidP="0000255F">
            <w:pPr>
              <w:jc w:val="both"/>
              <w:rPr>
                <w:rFonts w:ascii="Times New Roman" w:hAnsi="Times New Roman" w:cs="Times New Roman"/>
              </w:rPr>
            </w:pPr>
            <w:r w:rsidRPr="002372C6">
              <w:rPr>
                <w:rFonts w:ascii="Times New Roman" w:hAnsi="Times New Roman" w:cs="Times New Roman"/>
              </w:rPr>
              <w:t xml:space="preserve">Schedule separate training sessions for various project </w:t>
            </w:r>
            <w:r w:rsidR="005E7AAE" w:rsidRPr="002372C6">
              <w:rPr>
                <w:rFonts w:ascii="Times New Roman" w:hAnsi="Times New Roman" w:cs="Times New Roman"/>
              </w:rPr>
              <w:t>officials and workers.</w:t>
            </w:r>
          </w:p>
          <w:p w14:paraId="3C24E55E" w14:textId="77777777" w:rsidR="002806E7" w:rsidRPr="002372C6" w:rsidRDefault="002806E7" w:rsidP="0000255F">
            <w:pPr>
              <w:jc w:val="both"/>
              <w:rPr>
                <w:rFonts w:ascii="Times New Roman" w:hAnsi="Times New Roman" w:cs="Times New Roman"/>
              </w:rPr>
            </w:pPr>
          </w:p>
          <w:p w14:paraId="4F98AAF9" w14:textId="15BC6F09" w:rsidR="00F97D1A" w:rsidRPr="002372C6" w:rsidRDefault="00F97D1A" w:rsidP="0000255F">
            <w:pPr>
              <w:jc w:val="both"/>
              <w:rPr>
                <w:rFonts w:ascii="Times New Roman" w:hAnsi="Times New Roman" w:cs="Times New Roman"/>
              </w:rPr>
            </w:pPr>
            <w:r w:rsidRPr="002372C6">
              <w:rPr>
                <w:rFonts w:ascii="Times New Roman" w:hAnsi="Times New Roman" w:cs="Times New Roman"/>
              </w:rPr>
              <w:t>Training of project consultants and contractors</w:t>
            </w:r>
            <w:r w:rsidR="00C25329" w:rsidRPr="002372C6">
              <w:rPr>
                <w:rFonts w:ascii="Times New Roman" w:hAnsi="Times New Roman" w:cs="Times New Roman"/>
              </w:rPr>
              <w:t>.</w:t>
            </w:r>
          </w:p>
          <w:p w14:paraId="44253F97" w14:textId="77777777" w:rsidR="002806E7" w:rsidRPr="002372C6" w:rsidRDefault="002806E7" w:rsidP="0000255F">
            <w:pPr>
              <w:jc w:val="both"/>
              <w:rPr>
                <w:rFonts w:ascii="Times New Roman" w:hAnsi="Times New Roman" w:cs="Times New Roman"/>
              </w:rPr>
            </w:pPr>
          </w:p>
          <w:p w14:paraId="3EBFB220" w14:textId="77777777" w:rsidR="005E7AAE" w:rsidRPr="002372C6" w:rsidRDefault="005E7AAE" w:rsidP="0000255F">
            <w:pPr>
              <w:jc w:val="both"/>
              <w:rPr>
                <w:rFonts w:ascii="Times New Roman" w:hAnsi="Times New Roman" w:cs="Times New Roman"/>
              </w:rPr>
            </w:pPr>
            <w:r w:rsidRPr="002372C6">
              <w:rPr>
                <w:rFonts w:ascii="Times New Roman" w:hAnsi="Times New Roman" w:cs="Times New Roman"/>
              </w:rPr>
              <w:t>Train project actors with the aid of PPT</w:t>
            </w:r>
            <w:r w:rsidR="00F97D1A" w:rsidRPr="002372C6">
              <w:rPr>
                <w:rFonts w:ascii="Times New Roman" w:hAnsi="Times New Roman" w:cs="Times New Roman"/>
              </w:rPr>
              <w:t xml:space="preserve"> training materials. </w:t>
            </w:r>
          </w:p>
          <w:p w14:paraId="628E419C" w14:textId="640569FB" w:rsidR="002806E7" w:rsidRPr="002372C6" w:rsidRDefault="002806E7" w:rsidP="0000255F">
            <w:pPr>
              <w:jc w:val="both"/>
              <w:rPr>
                <w:rFonts w:ascii="Times New Roman" w:hAnsi="Times New Roman" w:cs="Times New Roman"/>
              </w:rPr>
            </w:pPr>
          </w:p>
        </w:tc>
        <w:tc>
          <w:tcPr>
            <w:tcW w:w="1393" w:type="dxa"/>
          </w:tcPr>
          <w:p w14:paraId="4D9055E6" w14:textId="77777777" w:rsidR="00D3570C" w:rsidRPr="002372C6" w:rsidRDefault="00C25329" w:rsidP="0000255F">
            <w:pPr>
              <w:jc w:val="both"/>
              <w:rPr>
                <w:rFonts w:ascii="Times New Roman" w:hAnsi="Times New Roman" w:cs="Times New Roman"/>
              </w:rPr>
            </w:pPr>
            <w:r w:rsidRPr="002372C6">
              <w:rPr>
                <w:rFonts w:ascii="Times New Roman" w:hAnsi="Times New Roman" w:cs="Times New Roman"/>
              </w:rPr>
              <w:t>June 2024</w:t>
            </w:r>
          </w:p>
          <w:p w14:paraId="627A11F2" w14:textId="77777777" w:rsidR="00C25329" w:rsidRPr="002372C6" w:rsidRDefault="00C25329" w:rsidP="0000255F">
            <w:pPr>
              <w:jc w:val="both"/>
              <w:rPr>
                <w:rFonts w:ascii="Times New Roman" w:hAnsi="Times New Roman" w:cs="Times New Roman"/>
              </w:rPr>
            </w:pPr>
          </w:p>
          <w:p w14:paraId="69963309" w14:textId="77777777" w:rsidR="00C25329" w:rsidRPr="002372C6" w:rsidRDefault="00C25329" w:rsidP="0000255F">
            <w:pPr>
              <w:jc w:val="both"/>
              <w:rPr>
                <w:rFonts w:ascii="Times New Roman" w:hAnsi="Times New Roman" w:cs="Times New Roman"/>
              </w:rPr>
            </w:pPr>
          </w:p>
          <w:p w14:paraId="6717ED29" w14:textId="77777777" w:rsidR="00C25329" w:rsidRPr="002372C6" w:rsidRDefault="00C25329" w:rsidP="0000255F">
            <w:pPr>
              <w:jc w:val="both"/>
              <w:rPr>
                <w:rFonts w:ascii="Times New Roman" w:hAnsi="Times New Roman" w:cs="Times New Roman"/>
              </w:rPr>
            </w:pPr>
          </w:p>
          <w:p w14:paraId="36DD9B69" w14:textId="77777777" w:rsidR="00C25329" w:rsidRPr="002372C6" w:rsidRDefault="00C25329" w:rsidP="0000255F">
            <w:pPr>
              <w:jc w:val="both"/>
              <w:rPr>
                <w:rFonts w:ascii="Times New Roman" w:hAnsi="Times New Roman" w:cs="Times New Roman"/>
              </w:rPr>
            </w:pPr>
          </w:p>
          <w:p w14:paraId="064BB2CB" w14:textId="77777777" w:rsidR="00C25329" w:rsidRPr="002372C6" w:rsidRDefault="00C25329" w:rsidP="0000255F">
            <w:pPr>
              <w:jc w:val="both"/>
              <w:rPr>
                <w:rFonts w:ascii="Times New Roman" w:hAnsi="Times New Roman" w:cs="Times New Roman"/>
              </w:rPr>
            </w:pPr>
          </w:p>
          <w:p w14:paraId="01D66585" w14:textId="77777777" w:rsidR="00C25329" w:rsidRPr="002372C6" w:rsidRDefault="00C25329" w:rsidP="0000255F">
            <w:pPr>
              <w:jc w:val="both"/>
              <w:rPr>
                <w:rFonts w:ascii="Times New Roman" w:hAnsi="Times New Roman" w:cs="Times New Roman"/>
              </w:rPr>
            </w:pPr>
          </w:p>
          <w:p w14:paraId="6544AB3A" w14:textId="77777777" w:rsidR="00C25329" w:rsidRPr="002372C6" w:rsidRDefault="00C25329" w:rsidP="0000255F">
            <w:pPr>
              <w:jc w:val="both"/>
              <w:rPr>
                <w:rFonts w:ascii="Times New Roman" w:hAnsi="Times New Roman" w:cs="Times New Roman"/>
              </w:rPr>
            </w:pPr>
          </w:p>
          <w:p w14:paraId="0677FB08" w14:textId="24016A44" w:rsidR="00C25329" w:rsidRPr="002372C6" w:rsidRDefault="00C25329" w:rsidP="0000255F">
            <w:pPr>
              <w:jc w:val="both"/>
              <w:rPr>
                <w:rFonts w:ascii="Times New Roman" w:hAnsi="Times New Roman" w:cs="Times New Roman"/>
              </w:rPr>
            </w:pPr>
            <w:r w:rsidRPr="002372C6">
              <w:rPr>
                <w:rFonts w:ascii="Times New Roman" w:hAnsi="Times New Roman" w:cs="Times New Roman"/>
              </w:rPr>
              <w:t xml:space="preserve">Ongoing twice each year </w:t>
            </w:r>
          </w:p>
        </w:tc>
        <w:tc>
          <w:tcPr>
            <w:tcW w:w="1744" w:type="dxa"/>
          </w:tcPr>
          <w:p w14:paraId="04A0A935" w14:textId="77777777" w:rsidR="00D3570C" w:rsidRPr="002372C6" w:rsidRDefault="0015072D" w:rsidP="0000255F">
            <w:pPr>
              <w:jc w:val="both"/>
              <w:rPr>
                <w:rFonts w:ascii="Times New Roman" w:hAnsi="Times New Roman" w:cs="Times New Roman"/>
              </w:rPr>
            </w:pPr>
            <w:r w:rsidRPr="002372C6">
              <w:rPr>
                <w:rFonts w:ascii="Times New Roman" w:hAnsi="Times New Roman" w:cs="Times New Roman"/>
              </w:rPr>
              <w:t xml:space="preserve">ICTA GBV Focal Point </w:t>
            </w:r>
          </w:p>
          <w:p w14:paraId="56ADEAD5" w14:textId="77777777" w:rsidR="0015072D" w:rsidRPr="002372C6" w:rsidRDefault="0015072D" w:rsidP="0000255F">
            <w:pPr>
              <w:jc w:val="both"/>
              <w:rPr>
                <w:rFonts w:ascii="Times New Roman" w:hAnsi="Times New Roman" w:cs="Times New Roman"/>
              </w:rPr>
            </w:pPr>
          </w:p>
          <w:p w14:paraId="3548F66B" w14:textId="77777777" w:rsidR="0015072D" w:rsidRPr="002372C6" w:rsidRDefault="0015072D" w:rsidP="0000255F">
            <w:pPr>
              <w:jc w:val="both"/>
              <w:rPr>
                <w:rFonts w:ascii="Times New Roman" w:hAnsi="Times New Roman" w:cs="Times New Roman"/>
              </w:rPr>
            </w:pPr>
            <w:r w:rsidRPr="002372C6">
              <w:rPr>
                <w:rFonts w:ascii="Times New Roman" w:hAnsi="Times New Roman" w:cs="Times New Roman"/>
              </w:rPr>
              <w:t xml:space="preserve">Social Specialist under PIU </w:t>
            </w:r>
          </w:p>
          <w:p w14:paraId="7D21CBE3" w14:textId="77777777" w:rsidR="0015072D" w:rsidRPr="002372C6" w:rsidRDefault="0015072D" w:rsidP="0000255F">
            <w:pPr>
              <w:jc w:val="both"/>
              <w:rPr>
                <w:rFonts w:ascii="Times New Roman" w:hAnsi="Times New Roman" w:cs="Times New Roman"/>
              </w:rPr>
            </w:pPr>
          </w:p>
          <w:p w14:paraId="43E610F6" w14:textId="64DB684C" w:rsidR="0015072D" w:rsidRPr="002372C6" w:rsidRDefault="0015072D" w:rsidP="0000255F">
            <w:pPr>
              <w:jc w:val="both"/>
              <w:rPr>
                <w:rFonts w:ascii="Times New Roman" w:hAnsi="Times New Roman" w:cs="Times New Roman"/>
              </w:rPr>
            </w:pPr>
            <w:r w:rsidRPr="002372C6">
              <w:rPr>
                <w:rFonts w:ascii="Times New Roman" w:hAnsi="Times New Roman" w:cs="Times New Roman"/>
              </w:rPr>
              <w:t xml:space="preserve">County gender officers. </w:t>
            </w:r>
          </w:p>
        </w:tc>
        <w:tc>
          <w:tcPr>
            <w:tcW w:w="1226" w:type="dxa"/>
          </w:tcPr>
          <w:p w14:paraId="6C2589E7" w14:textId="499EE3EB" w:rsidR="00D3570C" w:rsidRPr="002372C6" w:rsidRDefault="003710FC" w:rsidP="0000255F">
            <w:pPr>
              <w:jc w:val="both"/>
              <w:rPr>
                <w:rFonts w:ascii="Times New Roman" w:hAnsi="Times New Roman" w:cs="Times New Roman"/>
              </w:rPr>
            </w:pPr>
            <w:r w:rsidRPr="002372C6">
              <w:rPr>
                <w:rFonts w:ascii="Times New Roman" w:hAnsi="Times New Roman" w:cs="Times New Roman"/>
              </w:rPr>
              <w:t xml:space="preserve">Project coordinator </w:t>
            </w:r>
          </w:p>
        </w:tc>
        <w:tc>
          <w:tcPr>
            <w:tcW w:w="1890" w:type="dxa"/>
          </w:tcPr>
          <w:p w14:paraId="5770D394" w14:textId="77777777" w:rsidR="00C808FE" w:rsidRPr="002372C6" w:rsidRDefault="003710FC" w:rsidP="0000255F">
            <w:pPr>
              <w:jc w:val="both"/>
              <w:rPr>
                <w:rFonts w:ascii="Times New Roman" w:hAnsi="Times New Roman" w:cs="Times New Roman"/>
              </w:rPr>
            </w:pPr>
            <w:r w:rsidRPr="002372C6">
              <w:rPr>
                <w:rFonts w:ascii="Times New Roman" w:hAnsi="Times New Roman" w:cs="Times New Roman"/>
              </w:rPr>
              <w:t xml:space="preserve">Training </w:t>
            </w:r>
            <w:r w:rsidR="00E56BA9" w:rsidRPr="002372C6">
              <w:rPr>
                <w:rFonts w:ascii="Times New Roman" w:hAnsi="Times New Roman" w:cs="Times New Roman"/>
              </w:rPr>
              <w:t>material and content to aid sensitization of project actors available</w:t>
            </w:r>
            <w:r w:rsidR="00C808FE" w:rsidRPr="002372C6">
              <w:rPr>
                <w:rFonts w:ascii="Times New Roman" w:hAnsi="Times New Roman" w:cs="Times New Roman"/>
              </w:rPr>
              <w:t>.</w:t>
            </w:r>
          </w:p>
          <w:p w14:paraId="0BD98FC0" w14:textId="77777777" w:rsidR="00C808FE" w:rsidRPr="002372C6" w:rsidRDefault="00C808FE" w:rsidP="0000255F">
            <w:pPr>
              <w:jc w:val="both"/>
              <w:rPr>
                <w:rFonts w:ascii="Times New Roman" w:hAnsi="Times New Roman" w:cs="Times New Roman"/>
              </w:rPr>
            </w:pPr>
          </w:p>
          <w:p w14:paraId="77284944" w14:textId="57B15C56" w:rsidR="00D3570C" w:rsidRPr="002372C6" w:rsidRDefault="00C808FE" w:rsidP="0000255F">
            <w:pPr>
              <w:jc w:val="both"/>
              <w:rPr>
                <w:rFonts w:ascii="Times New Roman" w:hAnsi="Times New Roman" w:cs="Times New Roman"/>
              </w:rPr>
            </w:pPr>
            <w:r w:rsidRPr="002372C6">
              <w:rPr>
                <w:rFonts w:ascii="Times New Roman" w:hAnsi="Times New Roman" w:cs="Times New Roman"/>
              </w:rPr>
              <w:t>Project workers have clarity on SEA/SH prohibitions</w:t>
            </w:r>
            <w:r w:rsidR="005A4A70" w:rsidRPr="002372C6">
              <w:rPr>
                <w:rFonts w:ascii="Times New Roman" w:hAnsi="Times New Roman" w:cs="Times New Roman"/>
              </w:rPr>
              <w:t xml:space="preserve"> on the project and are empowered to contribute to mitigation and reporting of cases. </w:t>
            </w:r>
            <w:r w:rsidRPr="002372C6">
              <w:rPr>
                <w:rFonts w:ascii="Times New Roman" w:hAnsi="Times New Roman" w:cs="Times New Roman"/>
              </w:rPr>
              <w:t xml:space="preserve"> </w:t>
            </w:r>
            <w:r w:rsidR="00E56BA9" w:rsidRPr="002372C6">
              <w:rPr>
                <w:rFonts w:ascii="Times New Roman" w:hAnsi="Times New Roman" w:cs="Times New Roman"/>
              </w:rPr>
              <w:t xml:space="preserve"> </w:t>
            </w:r>
          </w:p>
        </w:tc>
        <w:tc>
          <w:tcPr>
            <w:tcW w:w="1260" w:type="dxa"/>
          </w:tcPr>
          <w:p w14:paraId="5F8FBAB3" w14:textId="32AB5C00" w:rsidR="00D3570C" w:rsidRPr="002372C6" w:rsidRDefault="001B72AD" w:rsidP="0000255F">
            <w:pPr>
              <w:jc w:val="both"/>
              <w:rPr>
                <w:rFonts w:ascii="Times New Roman" w:hAnsi="Times New Roman" w:cs="Times New Roman"/>
              </w:rPr>
            </w:pPr>
            <w:r w:rsidRPr="002372C6">
              <w:rPr>
                <w:rFonts w:ascii="Times New Roman" w:hAnsi="Times New Roman" w:cs="Times New Roman"/>
              </w:rPr>
              <w:t>USD 50,000</w:t>
            </w:r>
          </w:p>
        </w:tc>
      </w:tr>
      <w:tr w:rsidR="00F853CB" w:rsidRPr="002372C6" w14:paraId="42B22BDD" w14:textId="77777777" w:rsidTr="0053761E">
        <w:trPr>
          <w:gridAfter w:val="1"/>
          <w:wAfter w:w="17" w:type="dxa"/>
        </w:trPr>
        <w:tc>
          <w:tcPr>
            <w:tcW w:w="625" w:type="dxa"/>
          </w:tcPr>
          <w:p w14:paraId="48AC00E7" w14:textId="77777777" w:rsidR="00F853CB" w:rsidRPr="002372C6" w:rsidRDefault="00F853CB" w:rsidP="009924D9">
            <w:pPr>
              <w:pStyle w:val="ListParagraph"/>
              <w:numPr>
                <w:ilvl w:val="0"/>
                <w:numId w:val="23"/>
              </w:numPr>
              <w:jc w:val="both"/>
              <w:rPr>
                <w:rFonts w:ascii="Times New Roman" w:hAnsi="Times New Roman" w:cs="Times New Roman"/>
              </w:rPr>
            </w:pPr>
          </w:p>
        </w:tc>
        <w:tc>
          <w:tcPr>
            <w:tcW w:w="2861" w:type="dxa"/>
          </w:tcPr>
          <w:p w14:paraId="09AB8001" w14:textId="6434C2D0" w:rsidR="00F853CB" w:rsidRPr="002372C6" w:rsidRDefault="00F853CB" w:rsidP="00F853CB">
            <w:pPr>
              <w:jc w:val="both"/>
              <w:rPr>
                <w:rFonts w:ascii="Times New Roman" w:hAnsi="Times New Roman" w:cs="Times New Roman"/>
              </w:rPr>
            </w:pPr>
            <w:r w:rsidRPr="002372C6">
              <w:rPr>
                <w:rFonts w:ascii="Times New Roman" w:hAnsi="Times New Roman" w:cs="Times New Roman"/>
              </w:rPr>
              <w:t>Continuous learning through annual refresher training.</w:t>
            </w:r>
          </w:p>
        </w:tc>
        <w:tc>
          <w:tcPr>
            <w:tcW w:w="3486" w:type="dxa"/>
          </w:tcPr>
          <w:p w14:paraId="184846EE" w14:textId="77777777" w:rsidR="00F853CB" w:rsidRPr="002372C6" w:rsidRDefault="00F853CB" w:rsidP="00F853CB">
            <w:pPr>
              <w:jc w:val="both"/>
              <w:rPr>
                <w:rFonts w:ascii="Times New Roman" w:hAnsi="Times New Roman" w:cs="Times New Roman"/>
              </w:rPr>
            </w:pPr>
            <w:r w:rsidRPr="002372C6">
              <w:rPr>
                <w:rFonts w:ascii="Times New Roman" w:hAnsi="Times New Roman" w:cs="Times New Roman"/>
              </w:rPr>
              <w:t>Adapt existing training material to facilitate refresher training.</w:t>
            </w:r>
          </w:p>
          <w:p w14:paraId="2A148155" w14:textId="77777777" w:rsidR="00F853CB" w:rsidRPr="002372C6" w:rsidRDefault="00F853CB" w:rsidP="00F853CB">
            <w:pPr>
              <w:jc w:val="both"/>
              <w:rPr>
                <w:rFonts w:ascii="Times New Roman" w:hAnsi="Times New Roman" w:cs="Times New Roman"/>
              </w:rPr>
            </w:pPr>
          </w:p>
          <w:p w14:paraId="135A50ED" w14:textId="2B3EE81C" w:rsidR="00F853CB" w:rsidRPr="002372C6" w:rsidRDefault="00F853CB" w:rsidP="00F853CB">
            <w:pPr>
              <w:jc w:val="both"/>
              <w:rPr>
                <w:rFonts w:ascii="Times New Roman" w:hAnsi="Times New Roman" w:cs="Times New Roman"/>
              </w:rPr>
            </w:pPr>
            <w:r w:rsidRPr="002372C6">
              <w:rPr>
                <w:rFonts w:ascii="Times New Roman" w:hAnsi="Times New Roman" w:cs="Times New Roman"/>
              </w:rPr>
              <w:t xml:space="preserve">Organize and conduct annual refresher training for all project workers to enhance capacity for continuing SEA/SH mitigation, prevention, and response. </w:t>
            </w:r>
          </w:p>
        </w:tc>
        <w:tc>
          <w:tcPr>
            <w:tcW w:w="1393" w:type="dxa"/>
          </w:tcPr>
          <w:p w14:paraId="0ADF4E2C" w14:textId="73FFF08F" w:rsidR="00F853CB" w:rsidRPr="002372C6" w:rsidRDefault="00F853CB" w:rsidP="00F853CB">
            <w:pPr>
              <w:jc w:val="both"/>
              <w:rPr>
                <w:rFonts w:ascii="Times New Roman" w:hAnsi="Times New Roman" w:cs="Times New Roman"/>
              </w:rPr>
            </w:pPr>
            <w:r w:rsidRPr="002372C6">
              <w:rPr>
                <w:rFonts w:ascii="Times New Roman" w:hAnsi="Times New Roman" w:cs="Times New Roman"/>
              </w:rPr>
              <w:t xml:space="preserve">Annually </w:t>
            </w:r>
          </w:p>
        </w:tc>
        <w:tc>
          <w:tcPr>
            <w:tcW w:w="1744" w:type="dxa"/>
          </w:tcPr>
          <w:p w14:paraId="5C40778B" w14:textId="77777777" w:rsidR="00F853CB" w:rsidRPr="002372C6" w:rsidRDefault="00F853CB" w:rsidP="00F853CB">
            <w:pPr>
              <w:jc w:val="both"/>
              <w:rPr>
                <w:rFonts w:ascii="Times New Roman" w:hAnsi="Times New Roman" w:cs="Times New Roman"/>
              </w:rPr>
            </w:pPr>
            <w:r w:rsidRPr="002372C6">
              <w:rPr>
                <w:rFonts w:ascii="Times New Roman" w:hAnsi="Times New Roman" w:cs="Times New Roman"/>
              </w:rPr>
              <w:t xml:space="preserve">ICTA GBV Focal Point </w:t>
            </w:r>
          </w:p>
          <w:p w14:paraId="3036EE82" w14:textId="77777777" w:rsidR="00F853CB" w:rsidRPr="002372C6" w:rsidRDefault="00F853CB" w:rsidP="00F853CB">
            <w:pPr>
              <w:jc w:val="both"/>
              <w:rPr>
                <w:rFonts w:ascii="Times New Roman" w:hAnsi="Times New Roman" w:cs="Times New Roman"/>
              </w:rPr>
            </w:pPr>
          </w:p>
          <w:p w14:paraId="4668B0FE" w14:textId="77777777" w:rsidR="00F853CB" w:rsidRPr="002372C6" w:rsidRDefault="00F853CB" w:rsidP="00F853CB">
            <w:pPr>
              <w:jc w:val="both"/>
              <w:rPr>
                <w:rFonts w:ascii="Times New Roman" w:hAnsi="Times New Roman" w:cs="Times New Roman"/>
              </w:rPr>
            </w:pPr>
            <w:r w:rsidRPr="002372C6">
              <w:rPr>
                <w:rFonts w:ascii="Times New Roman" w:hAnsi="Times New Roman" w:cs="Times New Roman"/>
              </w:rPr>
              <w:t xml:space="preserve">Social Specialist under PIU </w:t>
            </w:r>
          </w:p>
          <w:p w14:paraId="395AC9DB" w14:textId="77777777" w:rsidR="00F853CB" w:rsidRPr="002372C6" w:rsidRDefault="00F853CB" w:rsidP="00F853CB">
            <w:pPr>
              <w:jc w:val="both"/>
              <w:rPr>
                <w:rFonts w:ascii="Times New Roman" w:hAnsi="Times New Roman" w:cs="Times New Roman"/>
              </w:rPr>
            </w:pPr>
          </w:p>
          <w:p w14:paraId="2106E1A0" w14:textId="77777777" w:rsidR="00F853CB" w:rsidRDefault="00F853CB" w:rsidP="00F853CB">
            <w:pPr>
              <w:jc w:val="both"/>
              <w:rPr>
                <w:rFonts w:ascii="Times New Roman" w:hAnsi="Times New Roman" w:cs="Times New Roman"/>
              </w:rPr>
            </w:pPr>
            <w:r w:rsidRPr="002372C6">
              <w:rPr>
                <w:rFonts w:ascii="Times New Roman" w:hAnsi="Times New Roman" w:cs="Times New Roman"/>
              </w:rPr>
              <w:t>County gender officers.</w:t>
            </w:r>
          </w:p>
          <w:p w14:paraId="194D1CBF" w14:textId="77777777" w:rsidR="009152F8" w:rsidRDefault="009152F8" w:rsidP="00F853CB">
            <w:pPr>
              <w:jc w:val="both"/>
              <w:rPr>
                <w:rFonts w:ascii="Times New Roman" w:hAnsi="Times New Roman" w:cs="Times New Roman"/>
              </w:rPr>
            </w:pPr>
          </w:p>
          <w:p w14:paraId="33C698B2" w14:textId="5A661554" w:rsidR="009152F8" w:rsidRPr="002372C6" w:rsidRDefault="009152F8" w:rsidP="00F853CB">
            <w:pPr>
              <w:jc w:val="both"/>
              <w:rPr>
                <w:rFonts w:ascii="Times New Roman" w:hAnsi="Times New Roman" w:cs="Times New Roman"/>
              </w:rPr>
            </w:pPr>
          </w:p>
        </w:tc>
        <w:tc>
          <w:tcPr>
            <w:tcW w:w="1226" w:type="dxa"/>
          </w:tcPr>
          <w:p w14:paraId="64DCACAB" w14:textId="46D5E84C" w:rsidR="00F853CB" w:rsidRPr="002372C6" w:rsidRDefault="00F853CB" w:rsidP="00F853CB">
            <w:pPr>
              <w:jc w:val="both"/>
              <w:rPr>
                <w:rFonts w:ascii="Times New Roman" w:hAnsi="Times New Roman" w:cs="Times New Roman"/>
              </w:rPr>
            </w:pPr>
            <w:r w:rsidRPr="002372C6">
              <w:rPr>
                <w:rFonts w:ascii="Times New Roman" w:hAnsi="Times New Roman" w:cs="Times New Roman"/>
              </w:rPr>
              <w:t>Project coordinator</w:t>
            </w:r>
          </w:p>
        </w:tc>
        <w:tc>
          <w:tcPr>
            <w:tcW w:w="1890" w:type="dxa"/>
          </w:tcPr>
          <w:p w14:paraId="00D90B52" w14:textId="3F1C9B61" w:rsidR="00F853CB" w:rsidRPr="002372C6" w:rsidRDefault="00F853CB" w:rsidP="00F853CB">
            <w:pPr>
              <w:jc w:val="both"/>
              <w:rPr>
                <w:rFonts w:ascii="Times New Roman" w:hAnsi="Times New Roman" w:cs="Times New Roman"/>
              </w:rPr>
            </w:pPr>
            <w:r w:rsidRPr="002372C6">
              <w:rPr>
                <w:rFonts w:ascii="Times New Roman" w:hAnsi="Times New Roman" w:cs="Times New Roman"/>
              </w:rPr>
              <w:t xml:space="preserve">Project workers have clarity on SEA/SH prohibitions on the project and are empowered to contribute to mitigation and reporting of cases.   </w:t>
            </w:r>
          </w:p>
        </w:tc>
        <w:tc>
          <w:tcPr>
            <w:tcW w:w="1260" w:type="dxa"/>
          </w:tcPr>
          <w:p w14:paraId="2193EB2F" w14:textId="584085A9" w:rsidR="00F853CB" w:rsidRPr="002372C6" w:rsidRDefault="00F853CB" w:rsidP="00F853CB">
            <w:pPr>
              <w:jc w:val="both"/>
              <w:rPr>
                <w:rFonts w:ascii="Times New Roman" w:hAnsi="Times New Roman" w:cs="Times New Roman"/>
              </w:rPr>
            </w:pPr>
            <w:r w:rsidRPr="002372C6">
              <w:rPr>
                <w:rFonts w:ascii="Times New Roman" w:hAnsi="Times New Roman" w:cs="Times New Roman"/>
              </w:rPr>
              <w:t>USD 30,000</w:t>
            </w:r>
          </w:p>
        </w:tc>
      </w:tr>
      <w:tr w:rsidR="00F853CB" w:rsidRPr="002372C6" w14:paraId="27A7E618" w14:textId="77777777" w:rsidTr="0053761E">
        <w:trPr>
          <w:gridAfter w:val="1"/>
          <w:wAfter w:w="17" w:type="dxa"/>
        </w:trPr>
        <w:tc>
          <w:tcPr>
            <w:tcW w:w="625" w:type="dxa"/>
          </w:tcPr>
          <w:p w14:paraId="72AF2686" w14:textId="25E993DF" w:rsidR="00F853CB" w:rsidRPr="002372C6" w:rsidRDefault="00F853CB" w:rsidP="00F853CB">
            <w:pPr>
              <w:jc w:val="both"/>
              <w:rPr>
                <w:rFonts w:ascii="Times New Roman" w:hAnsi="Times New Roman" w:cs="Times New Roman"/>
                <w:b/>
                <w:bCs/>
              </w:rPr>
            </w:pPr>
            <w:r w:rsidRPr="002372C6">
              <w:rPr>
                <w:rFonts w:ascii="Times New Roman" w:hAnsi="Times New Roman" w:cs="Times New Roman"/>
                <w:b/>
                <w:bCs/>
              </w:rPr>
              <w:lastRenderedPageBreak/>
              <w:t>2.</w:t>
            </w:r>
          </w:p>
        </w:tc>
        <w:tc>
          <w:tcPr>
            <w:tcW w:w="7740" w:type="dxa"/>
            <w:gridSpan w:val="3"/>
          </w:tcPr>
          <w:p w14:paraId="639C4CB3" w14:textId="1066A666" w:rsidR="00F853CB" w:rsidRPr="002372C6" w:rsidRDefault="00F853CB" w:rsidP="00F853CB">
            <w:pPr>
              <w:jc w:val="both"/>
              <w:rPr>
                <w:rFonts w:ascii="Times New Roman" w:hAnsi="Times New Roman" w:cs="Times New Roman"/>
                <w:b/>
                <w:bCs/>
              </w:rPr>
            </w:pPr>
            <w:r w:rsidRPr="002372C6">
              <w:rPr>
                <w:rFonts w:ascii="Times New Roman" w:hAnsi="Times New Roman" w:cs="Times New Roman"/>
                <w:b/>
                <w:bCs/>
              </w:rPr>
              <w:t xml:space="preserve">Conduct SEA/SH assessment: on contractors, project activities and project sites </w:t>
            </w:r>
          </w:p>
        </w:tc>
        <w:tc>
          <w:tcPr>
            <w:tcW w:w="1744" w:type="dxa"/>
          </w:tcPr>
          <w:p w14:paraId="7E375CCB" w14:textId="77777777" w:rsidR="00F853CB" w:rsidRPr="002372C6" w:rsidRDefault="00F853CB" w:rsidP="00F853CB">
            <w:pPr>
              <w:jc w:val="both"/>
              <w:rPr>
                <w:rFonts w:ascii="Times New Roman" w:hAnsi="Times New Roman" w:cs="Times New Roman"/>
                <w:b/>
                <w:bCs/>
              </w:rPr>
            </w:pPr>
          </w:p>
        </w:tc>
        <w:tc>
          <w:tcPr>
            <w:tcW w:w="1226" w:type="dxa"/>
          </w:tcPr>
          <w:p w14:paraId="2CEFDBEC" w14:textId="77777777" w:rsidR="00F853CB" w:rsidRPr="002372C6" w:rsidRDefault="00F853CB" w:rsidP="00F853CB">
            <w:pPr>
              <w:jc w:val="both"/>
              <w:rPr>
                <w:rFonts w:ascii="Times New Roman" w:hAnsi="Times New Roman" w:cs="Times New Roman"/>
                <w:b/>
                <w:bCs/>
              </w:rPr>
            </w:pPr>
          </w:p>
        </w:tc>
        <w:tc>
          <w:tcPr>
            <w:tcW w:w="1890" w:type="dxa"/>
          </w:tcPr>
          <w:p w14:paraId="08D4B019" w14:textId="77777777" w:rsidR="00F853CB" w:rsidRPr="002372C6" w:rsidRDefault="00F853CB" w:rsidP="00F853CB">
            <w:pPr>
              <w:jc w:val="both"/>
              <w:rPr>
                <w:rFonts w:ascii="Times New Roman" w:hAnsi="Times New Roman" w:cs="Times New Roman"/>
                <w:b/>
                <w:bCs/>
              </w:rPr>
            </w:pPr>
          </w:p>
        </w:tc>
        <w:tc>
          <w:tcPr>
            <w:tcW w:w="1260" w:type="dxa"/>
          </w:tcPr>
          <w:p w14:paraId="62746DDF" w14:textId="77777777" w:rsidR="00F853CB" w:rsidRPr="002372C6" w:rsidRDefault="00F853CB" w:rsidP="00F853CB">
            <w:pPr>
              <w:jc w:val="both"/>
              <w:rPr>
                <w:rFonts w:ascii="Times New Roman" w:hAnsi="Times New Roman" w:cs="Times New Roman"/>
                <w:b/>
                <w:bCs/>
              </w:rPr>
            </w:pPr>
          </w:p>
        </w:tc>
      </w:tr>
      <w:tr w:rsidR="00CD454E" w:rsidRPr="002372C6" w14:paraId="4EDF44A6" w14:textId="77777777" w:rsidTr="0053761E">
        <w:trPr>
          <w:gridAfter w:val="1"/>
          <w:wAfter w:w="17" w:type="dxa"/>
        </w:trPr>
        <w:tc>
          <w:tcPr>
            <w:tcW w:w="625" w:type="dxa"/>
          </w:tcPr>
          <w:p w14:paraId="5A8257DB" w14:textId="77777777" w:rsidR="00CD454E" w:rsidRPr="002372C6" w:rsidRDefault="00CD454E" w:rsidP="009924D9">
            <w:pPr>
              <w:pStyle w:val="ListParagraph"/>
              <w:numPr>
                <w:ilvl w:val="0"/>
                <w:numId w:val="25"/>
              </w:numPr>
              <w:jc w:val="both"/>
              <w:rPr>
                <w:rFonts w:ascii="Times New Roman" w:hAnsi="Times New Roman" w:cs="Times New Roman"/>
              </w:rPr>
            </w:pPr>
          </w:p>
        </w:tc>
        <w:tc>
          <w:tcPr>
            <w:tcW w:w="2861" w:type="dxa"/>
          </w:tcPr>
          <w:p w14:paraId="557157C8" w14:textId="4395D2D8"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Conduct an SEA and SH risk assessment on sub-projects and activities to inform risk mitigation strategies </w:t>
            </w:r>
          </w:p>
        </w:tc>
        <w:tc>
          <w:tcPr>
            <w:tcW w:w="3486" w:type="dxa"/>
          </w:tcPr>
          <w:p w14:paraId="04CDC74F"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Request all contractors and supervising contractors to include SEA/SH screening in the E&amp;S risk screening for projects </w:t>
            </w:r>
          </w:p>
          <w:p w14:paraId="42660BFA" w14:textId="77777777" w:rsidR="00CD454E" w:rsidRPr="002372C6" w:rsidRDefault="00CD454E" w:rsidP="00CD454E">
            <w:pPr>
              <w:jc w:val="both"/>
              <w:rPr>
                <w:rFonts w:ascii="Times New Roman" w:hAnsi="Times New Roman" w:cs="Times New Roman"/>
              </w:rPr>
            </w:pPr>
          </w:p>
          <w:p w14:paraId="2E2E0808"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Review the screening process to include human resource manuals and staff capacity, existing GBV policies and procedures, project code of conduct, and advice on mitigation and response measures to be considered on SEA/SH.</w:t>
            </w:r>
          </w:p>
          <w:p w14:paraId="78416AB8" w14:textId="4DE0AD10" w:rsidR="00CD454E" w:rsidRPr="002372C6" w:rsidRDefault="00CD454E" w:rsidP="00CD454E">
            <w:pPr>
              <w:jc w:val="both"/>
              <w:rPr>
                <w:rFonts w:ascii="Times New Roman" w:hAnsi="Times New Roman" w:cs="Times New Roman"/>
              </w:rPr>
            </w:pPr>
            <w:r w:rsidRPr="002372C6">
              <w:rPr>
                <w:rFonts w:ascii="Times New Roman" w:hAnsi="Times New Roman" w:cs="Times New Roman"/>
              </w:rPr>
              <w:t>Assist contractors and consultants to integrate mitigation measures in relevant E&amp;S risk instruments including SEP, ESIA and ESMP.</w:t>
            </w:r>
          </w:p>
        </w:tc>
        <w:tc>
          <w:tcPr>
            <w:tcW w:w="1393" w:type="dxa"/>
          </w:tcPr>
          <w:p w14:paraId="0ED20081"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Once contractor and supervision consultants have been identified. </w:t>
            </w:r>
          </w:p>
          <w:p w14:paraId="672D1C7A" w14:textId="77777777" w:rsidR="00CD454E" w:rsidRPr="002372C6" w:rsidRDefault="00CD454E" w:rsidP="00CD454E">
            <w:pPr>
              <w:jc w:val="both"/>
              <w:rPr>
                <w:rFonts w:ascii="Times New Roman" w:hAnsi="Times New Roman" w:cs="Times New Roman"/>
              </w:rPr>
            </w:pPr>
          </w:p>
          <w:p w14:paraId="00A81799" w14:textId="2F10111F" w:rsidR="00CD454E" w:rsidRPr="002372C6" w:rsidRDefault="00CD454E" w:rsidP="00CD454E">
            <w:pPr>
              <w:jc w:val="both"/>
              <w:rPr>
                <w:rFonts w:ascii="Times New Roman" w:hAnsi="Times New Roman" w:cs="Times New Roman"/>
              </w:rPr>
            </w:pPr>
            <w:r w:rsidRPr="002372C6">
              <w:rPr>
                <w:rFonts w:ascii="Times New Roman" w:hAnsi="Times New Roman" w:cs="Times New Roman"/>
              </w:rPr>
              <w:t>Throughout the project implementation period.</w:t>
            </w:r>
          </w:p>
        </w:tc>
        <w:tc>
          <w:tcPr>
            <w:tcW w:w="1744" w:type="dxa"/>
          </w:tcPr>
          <w:p w14:paraId="362BA93D"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ICTA Authority GBV focal point.</w:t>
            </w:r>
          </w:p>
          <w:p w14:paraId="1234F861" w14:textId="77777777" w:rsidR="00CD454E" w:rsidRPr="002372C6" w:rsidRDefault="00CD454E" w:rsidP="00CD454E">
            <w:pPr>
              <w:jc w:val="both"/>
              <w:rPr>
                <w:rFonts w:ascii="Times New Roman" w:hAnsi="Times New Roman" w:cs="Times New Roman"/>
              </w:rPr>
            </w:pPr>
          </w:p>
          <w:p w14:paraId="703EA425" w14:textId="77777777" w:rsidR="00CD454E" w:rsidRPr="002372C6" w:rsidRDefault="00CD454E" w:rsidP="00CD454E">
            <w:pPr>
              <w:jc w:val="both"/>
              <w:rPr>
                <w:rFonts w:ascii="Times New Roman" w:hAnsi="Times New Roman" w:cs="Times New Roman"/>
              </w:rPr>
            </w:pPr>
          </w:p>
          <w:p w14:paraId="63D95528" w14:textId="0FC8C155"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Contractors’ sociologist </w:t>
            </w:r>
          </w:p>
          <w:p w14:paraId="06B7E604" w14:textId="77777777" w:rsidR="00CD454E" w:rsidRPr="002372C6" w:rsidRDefault="00CD454E" w:rsidP="00CD454E">
            <w:pPr>
              <w:jc w:val="both"/>
              <w:rPr>
                <w:rFonts w:ascii="Times New Roman" w:hAnsi="Times New Roman" w:cs="Times New Roman"/>
              </w:rPr>
            </w:pPr>
          </w:p>
          <w:p w14:paraId="4B9DFAB5" w14:textId="56E2F8BE"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Supervising consultant’s sociologist </w:t>
            </w:r>
          </w:p>
        </w:tc>
        <w:tc>
          <w:tcPr>
            <w:tcW w:w="1226" w:type="dxa"/>
          </w:tcPr>
          <w:p w14:paraId="4573759A"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Gender officer at the County government </w:t>
            </w:r>
          </w:p>
          <w:p w14:paraId="5B7C718E" w14:textId="77777777" w:rsidR="00CD454E" w:rsidRPr="002372C6" w:rsidRDefault="00CD454E" w:rsidP="00CD454E">
            <w:pPr>
              <w:jc w:val="both"/>
              <w:rPr>
                <w:rFonts w:ascii="Times New Roman" w:hAnsi="Times New Roman" w:cs="Times New Roman"/>
              </w:rPr>
            </w:pPr>
          </w:p>
          <w:p w14:paraId="0AA1DC3D" w14:textId="77777777" w:rsidR="00CD454E" w:rsidRPr="002372C6" w:rsidRDefault="00CD454E" w:rsidP="00CD454E">
            <w:pPr>
              <w:jc w:val="both"/>
              <w:rPr>
                <w:rFonts w:ascii="Times New Roman" w:hAnsi="Times New Roman" w:cs="Times New Roman"/>
              </w:rPr>
            </w:pPr>
          </w:p>
          <w:p w14:paraId="06A7DF74" w14:textId="4C89FA1E"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PIU Coordinator </w:t>
            </w:r>
          </w:p>
        </w:tc>
        <w:tc>
          <w:tcPr>
            <w:tcW w:w="1890" w:type="dxa"/>
          </w:tcPr>
          <w:p w14:paraId="3CDA9B11" w14:textId="77777777" w:rsidR="00CD454E" w:rsidRPr="002372C6" w:rsidRDefault="00CD454E" w:rsidP="00CD454E">
            <w:pPr>
              <w:jc w:val="both"/>
              <w:rPr>
                <w:rFonts w:ascii="Times New Roman" w:hAnsi="Times New Roman" w:cs="Times New Roman"/>
              </w:rPr>
            </w:pPr>
          </w:p>
          <w:p w14:paraId="71342115" w14:textId="4D7A6864"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Supervising engineers and contractors have detailed measures and procedures to address SEA/SH related risks. </w:t>
            </w:r>
          </w:p>
        </w:tc>
        <w:tc>
          <w:tcPr>
            <w:tcW w:w="1260" w:type="dxa"/>
          </w:tcPr>
          <w:p w14:paraId="77E60874" w14:textId="75B68359" w:rsidR="00CD454E" w:rsidRPr="002372C6" w:rsidRDefault="00CD454E" w:rsidP="00CD454E">
            <w:pPr>
              <w:jc w:val="both"/>
              <w:rPr>
                <w:rFonts w:ascii="Times New Roman" w:hAnsi="Times New Roman" w:cs="Times New Roman"/>
              </w:rPr>
            </w:pPr>
            <w:r w:rsidRPr="002372C6">
              <w:rPr>
                <w:rFonts w:ascii="Times New Roman" w:hAnsi="Times New Roman" w:cs="Times New Roman"/>
              </w:rPr>
              <w:t>USD 50,000</w:t>
            </w:r>
          </w:p>
        </w:tc>
      </w:tr>
      <w:tr w:rsidR="00CD454E" w:rsidRPr="002372C6" w14:paraId="7343D9D1" w14:textId="77777777" w:rsidTr="00560E25">
        <w:trPr>
          <w:gridAfter w:val="1"/>
          <w:wAfter w:w="17" w:type="dxa"/>
        </w:trPr>
        <w:tc>
          <w:tcPr>
            <w:tcW w:w="625" w:type="dxa"/>
          </w:tcPr>
          <w:p w14:paraId="5B2A866D" w14:textId="195435A9" w:rsidR="00CD454E" w:rsidRPr="002372C6" w:rsidRDefault="00CD454E" w:rsidP="00CD454E">
            <w:pPr>
              <w:rPr>
                <w:rFonts w:ascii="Times New Roman" w:hAnsi="Times New Roman" w:cs="Times New Roman"/>
                <w:b/>
                <w:bCs/>
              </w:rPr>
            </w:pPr>
            <w:r w:rsidRPr="002372C6">
              <w:rPr>
                <w:rFonts w:ascii="Times New Roman" w:hAnsi="Times New Roman" w:cs="Times New Roman"/>
                <w:b/>
                <w:bCs/>
              </w:rPr>
              <w:t>3.</w:t>
            </w:r>
          </w:p>
        </w:tc>
        <w:tc>
          <w:tcPr>
            <w:tcW w:w="13860" w:type="dxa"/>
            <w:gridSpan w:val="7"/>
          </w:tcPr>
          <w:p w14:paraId="1E59BA11" w14:textId="7D185266" w:rsidR="00CD454E" w:rsidRPr="002372C6" w:rsidRDefault="00CD454E" w:rsidP="00CD454E">
            <w:pPr>
              <w:jc w:val="both"/>
              <w:rPr>
                <w:rFonts w:ascii="Times New Roman" w:hAnsi="Times New Roman" w:cs="Times New Roman"/>
                <w:b/>
                <w:bCs/>
              </w:rPr>
            </w:pPr>
            <w:r w:rsidRPr="002372C6">
              <w:rPr>
                <w:rFonts w:ascii="Times New Roman" w:hAnsi="Times New Roman" w:cs="Times New Roman"/>
                <w:b/>
                <w:bCs/>
              </w:rPr>
              <w:t xml:space="preserve">Map out GBV prevention and response service providers able to provide care to SEA and SH </w:t>
            </w:r>
            <w:r w:rsidR="001609C5" w:rsidRPr="002372C6">
              <w:rPr>
                <w:rFonts w:ascii="Times New Roman" w:hAnsi="Times New Roman" w:cs="Times New Roman"/>
                <w:b/>
                <w:bCs/>
              </w:rPr>
              <w:t>Survivors</w:t>
            </w:r>
          </w:p>
        </w:tc>
      </w:tr>
      <w:tr w:rsidR="00CD454E" w:rsidRPr="002372C6" w14:paraId="6CF9684E" w14:textId="77777777" w:rsidTr="00D52751">
        <w:trPr>
          <w:gridAfter w:val="1"/>
          <w:wAfter w:w="17" w:type="dxa"/>
          <w:trHeight w:val="3392"/>
        </w:trPr>
        <w:tc>
          <w:tcPr>
            <w:tcW w:w="625" w:type="dxa"/>
          </w:tcPr>
          <w:p w14:paraId="38CF57B4" w14:textId="77777777" w:rsidR="00CD454E" w:rsidRPr="002372C6" w:rsidRDefault="00CD454E" w:rsidP="009924D9">
            <w:pPr>
              <w:pStyle w:val="ListParagraph"/>
              <w:numPr>
                <w:ilvl w:val="0"/>
                <w:numId w:val="26"/>
              </w:numPr>
              <w:jc w:val="both"/>
              <w:rPr>
                <w:rFonts w:ascii="Times New Roman" w:hAnsi="Times New Roman" w:cs="Times New Roman"/>
              </w:rPr>
            </w:pPr>
          </w:p>
        </w:tc>
        <w:tc>
          <w:tcPr>
            <w:tcW w:w="2861" w:type="dxa"/>
          </w:tcPr>
          <w:p w14:paraId="05646C96" w14:textId="49E07537" w:rsidR="00CD454E" w:rsidRPr="002372C6" w:rsidRDefault="00E12AFC" w:rsidP="00CD454E">
            <w:pPr>
              <w:jc w:val="both"/>
              <w:rPr>
                <w:rFonts w:ascii="Times New Roman" w:hAnsi="Times New Roman" w:cs="Times New Roman"/>
              </w:rPr>
            </w:pPr>
            <w:r>
              <w:rPr>
                <w:rFonts w:ascii="Times New Roman" w:hAnsi="Times New Roman" w:cs="Times New Roman"/>
              </w:rPr>
              <w:t>Provide a list of</w:t>
            </w:r>
            <w:r w:rsidR="00CD454E" w:rsidRPr="002372C6">
              <w:rPr>
                <w:rFonts w:ascii="Times New Roman" w:hAnsi="Times New Roman" w:cs="Times New Roman"/>
              </w:rPr>
              <w:t xml:space="preserve"> GBV service providers in the project area able to provide care and support SEA and SH survivors.</w:t>
            </w:r>
          </w:p>
        </w:tc>
        <w:tc>
          <w:tcPr>
            <w:tcW w:w="3486" w:type="dxa"/>
          </w:tcPr>
          <w:p w14:paraId="688D8A9D" w14:textId="3FE0E2E3" w:rsidR="00CD454E" w:rsidRPr="002372C6" w:rsidRDefault="000B5391" w:rsidP="00CD454E">
            <w:pPr>
              <w:jc w:val="both"/>
              <w:rPr>
                <w:rFonts w:ascii="Times New Roman" w:hAnsi="Times New Roman" w:cs="Times New Roman"/>
              </w:rPr>
            </w:pPr>
            <w:r w:rsidRPr="002372C6">
              <w:rPr>
                <w:rFonts w:ascii="Times New Roman" w:hAnsi="Times New Roman" w:cs="Times New Roman"/>
              </w:rPr>
              <w:t xml:space="preserve">Implementing agencies to adopt the </w:t>
            </w:r>
            <w:r w:rsidR="00CD454E" w:rsidRPr="002372C6">
              <w:rPr>
                <w:rFonts w:ascii="Times New Roman" w:hAnsi="Times New Roman" w:cs="Times New Roman"/>
              </w:rPr>
              <w:t>WBG GBV service providers mapping checklist and share with safeguard focal person.</w:t>
            </w:r>
          </w:p>
          <w:p w14:paraId="6F76BA2F" w14:textId="77777777" w:rsidR="00CD454E" w:rsidRPr="002372C6" w:rsidRDefault="00CD454E" w:rsidP="00CD454E">
            <w:pPr>
              <w:jc w:val="both"/>
              <w:rPr>
                <w:rFonts w:ascii="Times New Roman" w:hAnsi="Times New Roman" w:cs="Times New Roman"/>
              </w:rPr>
            </w:pPr>
          </w:p>
          <w:p w14:paraId="7E4B76C7"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Orient safeguards focal persons in the application of mapping checklist. </w:t>
            </w:r>
          </w:p>
          <w:p w14:paraId="3C6BDE93" w14:textId="77777777" w:rsidR="00CD454E" w:rsidRPr="002372C6" w:rsidRDefault="00CD454E" w:rsidP="00CD454E">
            <w:pPr>
              <w:jc w:val="both"/>
              <w:rPr>
                <w:rFonts w:ascii="Times New Roman" w:hAnsi="Times New Roman" w:cs="Times New Roman"/>
              </w:rPr>
            </w:pPr>
          </w:p>
          <w:p w14:paraId="70EF5B13"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Identity and visit potential service providers and complete assessment on quality of services provided with mapping checklist.</w:t>
            </w:r>
          </w:p>
          <w:p w14:paraId="0F547A82" w14:textId="77777777" w:rsidR="00CD454E" w:rsidRPr="002372C6" w:rsidRDefault="00CD454E" w:rsidP="00CD454E">
            <w:pPr>
              <w:jc w:val="both"/>
              <w:rPr>
                <w:rFonts w:ascii="Times New Roman" w:hAnsi="Times New Roman" w:cs="Times New Roman"/>
              </w:rPr>
            </w:pPr>
          </w:p>
          <w:p w14:paraId="78A661F3" w14:textId="4F7E6AA7" w:rsidR="00CD454E" w:rsidRPr="002372C6" w:rsidRDefault="00CD454E" w:rsidP="00CD454E">
            <w:pPr>
              <w:jc w:val="both"/>
              <w:rPr>
                <w:rFonts w:ascii="Times New Roman" w:hAnsi="Times New Roman" w:cs="Times New Roman"/>
              </w:rPr>
            </w:pPr>
            <w:r w:rsidRPr="002372C6">
              <w:rPr>
                <w:rFonts w:ascii="Times New Roman" w:hAnsi="Times New Roman" w:cs="Times New Roman"/>
              </w:rPr>
              <w:lastRenderedPageBreak/>
              <w:t xml:space="preserve">Prepare mapping report and link quality service providers to the project grievance mechanism. </w:t>
            </w:r>
          </w:p>
        </w:tc>
        <w:tc>
          <w:tcPr>
            <w:tcW w:w="1393" w:type="dxa"/>
          </w:tcPr>
          <w:p w14:paraId="1468BD9D"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lastRenderedPageBreak/>
              <w:t xml:space="preserve">Once contractor and supervision consultants have been identified. </w:t>
            </w:r>
          </w:p>
          <w:p w14:paraId="1DDFFDA2" w14:textId="77777777" w:rsidR="00CD454E" w:rsidRPr="002372C6" w:rsidRDefault="00CD454E" w:rsidP="00CD454E">
            <w:pPr>
              <w:jc w:val="both"/>
              <w:rPr>
                <w:rFonts w:ascii="Times New Roman" w:hAnsi="Times New Roman" w:cs="Times New Roman"/>
              </w:rPr>
            </w:pPr>
          </w:p>
          <w:p w14:paraId="0B957052" w14:textId="77777777" w:rsidR="00CD454E" w:rsidRPr="002372C6" w:rsidRDefault="00CD454E" w:rsidP="00CD454E">
            <w:pPr>
              <w:jc w:val="both"/>
              <w:rPr>
                <w:rFonts w:ascii="Times New Roman" w:hAnsi="Times New Roman" w:cs="Times New Roman"/>
              </w:rPr>
            </w:pPr>
          </w:p>
          <w:p w14:paraId="22088E9B" w14:textId="13CA1D91"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Once subprojects and project activities are defined. </w:t>
            </w:r>
          </w:p>
        </w:tc>
        <w:tc>
          <w:tcPr>
            <w:tcW w:w="1744" w:type="dxa"/>
          </w:tcPr>
          <w:p w14:paraId="1D1066F4"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ICTA Authority GBV focal point.</w:t>
            </w:r>
          </w:p>
          <w:p w14:paraId="194A502C" w14:textId="77777777" w:rsidR="00CD454E" w:rsidRPr="002372C6" w:rsidRDefault="00CD454E" w:rsidP="00CD454E">
            <w:pPr>
              <w:jc w:val="both"/>
              <w:rPr>
                <w:rFonts w:ascii="Times New Roman" w:hAnsi="Times New Roman" w:cs="Times New Roman"/>
              </w:rPr>
            </w:pPr>
          </w:p>
          <w:p w14:paraId="52F25DEF" w14:textId="77777777" w:rsidR="00CD454E" w:rsidRPr="002372C6" w:rsidRDefault="00CD454E" w:rsidP="00CD454E">
            <w:pPr>
              <w:jc w:val="both"/>
              <w:rPr>
                <w:rFonts w:ascii="Times New Roman" w:hAnsi="Times New Roman" w:cs="Times New Roman"/>
              </w:rPr>
            </w:pPr>
          </w:p>
          <w:p w14:paraId="370A6B46"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Contractors’ sociologist </w:t>
            </w:r>
          </w:p>
          <w:p w14:paraId="25C220EB" w14:textId="77777777" w:rsidR="00CD454E" w:rsidRPr="002372C6" w:rsidRDefault="00CD454E" w:rsidP="00CD454E">
            <w:pPr>
              <w:jc w:val="both"/>
              <w:rPr>
                <w:rFonts w:ascii="Times New Roman" w:hAnsi="Times New Roman" w:cs="Times New Roman"/>
              </w:rPr>
            </w:pPr>
          </w:p>
          <w:p w14:paraId="3D53965E" w14:textId="23758B99" w:rsidR="00CD454E" w:rsidRPr="002372C6" w:rsidRDefault="00CD454E" w:rsidP="00CD454E">
            <w:pPr>
              <w:jc w:val="both"/>
              <w:rPr>
                <w:rFonts w:ascii="Times New Roman" w:hAnsi="Times New Roman" w:cs="Times New Roman"/>
              </w:rPr>
            </w:pPr>
            <w:r w:rsidRPr="002372C6">
              <w:rPr>
                <w:rFonts w:ascii="Times New Roman" w:hAnsi="Times New Roman" w:cs="Times New Roman"/>
              </w:rPr>
              <w:t>Supervising consultant’s sociologist</w:t>
            </w:r>
          </w:p>
        </w:tc>
        <w:tc>
          <w:tcPr>
            <w:tcW w:w="1226" w:type="dxa"/>
          </w:tcPr>
          <w:p w14:paraId="5D8E5FD3" w14:textId="77777777" w:rsidR="00CD454E" w:rsidRPr="002372C6" w:rsidRDefault="00CD454E" w:rsidP="00CD454E">
            <w:pPr>
              <w:jc w:val="both"/>
              <w:rPr>
                <w:rFonts w:ascii="Times New Roman" w:hAnsi="Times New Roman" w:cs="Times New Roman"/>
              </w:rPr>
            </w:pPr>
            <w:r w:rsidRPr="002372C6">
              <w:rPr>
                <w:rFonts w:ascii="Times New Roman" w:hAnsi="Times New Roman" w:cs="Times New Roman"/>
              </w:rPr>
              <w:t xml:space="preserve">Gender officer at the County government </w:t>
            </w:r>
          </w:p>
          <w:p w14:paraId="39FF02AF" w14:textId="77777777" w:rsidR="00CD454E" w:rsidRPr="002372C6" w:rsidRDefault="00CD454E" w:rsidP="00CD454E">
            <w:pPr>
              <w:jc w:val="both"/>
              <w:rPr>
                <w:rFonts w:ascii="Times New Roman" w:hAnsi="Times New Roman" w:cs="Times New Roman"/>
              </w:rPr>
            </w:pPr>
          </w:p>
          <w:p w14:paraId="0716D609" w14:textId="77777777" w:rsidR="00CD454E" w:rsidRPr="002372C6" w:rsidRDefault="00CD454E" w:rsidP="00CD454E">
            <w:pPr>
              <w:jc w:val="both"/>
              <w:rPr>
                <w:rFonts w:ascii="Times New Roman" w:hAnsi="Times New Roman" w:cs="Times New Roman"/>
              </w:rPr>
            </w:pPr>
          </w:p>
          <w:p w14:paraId="4ABC679E" w14:textId="121DBE4F" w:rsidR="00CD454E" w:rsidRPr="002372C6" w:rsidRDefault="00CD454E" w:rsidP="00CD454E">
            <w:pPr>
              <w:jc w:val="both"/>
              <w:rPr>
                <w:rFonts w:ascii="Times New Roman" w:hAnsi="Times New Roman" w:cs="Times New Roman"/>
              </w:rPr>
            </w:pPr>
            <w:r w:rsidRPr="002372C6">
              <w:rPr>
                <w:rFonts w:ascii="Times New Roman" w:hAnsi="Times New Roman" w:cs="Times New Roman"/>
              </w:rPr>
              <w:t>PIU Coordinator</w:t>
            </w:r>
          </w:p>
        </w:tc>
        <w:tc>
          <w:tcPr>
            <w:tcW w:w="1890" w:type="dxa"/>
          </w:tcPr>
          <w:p w14:paraId="38DFFF93" w14:textId="37BB114F" w:rsidR="00CD454E" w:rsidRPr="002372C6" w:rsidRDefault="00CD454E" w:rsidP="00CD454E">
            <w:pPr>
              <w:jc w:val="both"/>
              <w:rPr>
                <w:rFonts w:ascii="Times New Roman" w:hAnsi="Times New Roman" w:cs="Times New Roman"/>
              </w:rPr>
            </w:pPr>
            <w:r w:rsidRPr="002372C6">
              <w:rPr>
                <w:rFonts w:ascii="Times New Roman" w:hAnsi="Times New Roman" w:cs="Times New Roman"/>
              </w:rPr>
              <w:t>GBV service providers’ information available and made accessible for use by the project grievance mechanism.</w:t>
            </w:r>
          </w:p>
        </w:tc>
        <w:tc>
          <w:tcPr>
            <w:tcW w:w="1260" w:type="dxa"/>
          </w:tcPr>
          <w:p w14:paraId="045C88D1" w14:textId="19B87686" w:rsidR="00CD454E" w:rsidRPr="002372C6" w:rsidRDefault="00CD454E" w:rsidP="00CD454E">
            <w:pPr>
              <w:jc w:val="both"/>
              <w:rPr>
                <w:rFonts w:ascii="Times New Roman" w:hAnsi="Times New Roman" w:cs="Times New Roman"/>
              </w:rPr>
            </w:pPr>
            <w:r w:rsidRPr="002372C6">
              <w:rPr>
                <w:rFonts w:ascii="Times New Roman" w:hAnsi="Times New Roman" w:cs="Times New Roman"/>
              </w:rPr>
              <w:t>USD 50,000</w:t>
            </w:r>
          </w:p>
        </w:tc>
      </w:tr>
      <w:tr w:rsidR="00D52751" w:rsidRPr="002372C6" w14:paraId="73CB4CEC" w14:textId="77777777" w:rsidTr="00096789">
        <w:trPr>
          <w:gridAfter w:val="1"/>
          <w:wAfter w:w="17" w:type="dxa"/>
        </w:trPr>
        <w:tc>
          <w:tcPr>
            <w:tcW w:w="625" w:type="dxa"/>
          </w:tcPr>
          <w:p w14:paraId="0BD97668" w14:textId="78A87449" w:rsidR="00D52751" w:rsidRPr="002372C6" w:rsidRDefault="00D52751" w:rsidP="00D52751">
            <w:pPr>
              <w:jc w:val="both"/>
              <w:rPr>
                <w:rFonts w:ascii="Times New Roman" w:hAnsi="Times New Roman" w:cs="Times New Roman"/>
              </w:rPr>
            </w:pPr>
            <w:r w:rsidRPr="002372C6">
              <w:rPr>
                <w:rFonts w:ascii="Times New Roman" w:hAnsi="Times New Roman" w:cs="Times New Roman"/>
                <w:b/>
                <w:bCs/>
              </w:rPr>
              <w:t>4.</w:t>
            </w:r>
          </w:p>
        </w:tc>
        <w:tc>
          <w:tcPr>
            <w:tcW w:w="13860" w:type="dxa"/>
            <w:gridSpan w:val="7"/>
          </w:tcPr>
          <w:p w14:paraId="7C8098D3" w14:textId="77777777" w:rsidR="00D52751" w:rsidRPr="002372C6" w:rsidRDefault="00D52751" w:rsidP="00D52751">
            <w:pPr>
              <w:jc w:val="both"/>
              <w:rPr>
                <w:rFonts w:ascii="Times New Roman" w:hAnsi="Times New Roman" w:cs="Times New Roman"/>
                <w:b/>
                <w:bCs/>
              </w:rPr>
            </w:pPr>
            <w:r w:rsidRPr="002372C6">
              <w:rPr>
                <w:rFonts w:ascii="Times New Roman" w:hAnsi="Times New Roman" w:cs="Times New Roman"/>
                <w:b/>
                <w:bCs/>
              </w:rPr>
              <w:t>Monitoring and Evaluation of the SGBV Policy and the SEA/SH Prevention and Response Action Plan</w:t>
            </w:r>
          </w:p>
          <w:p w14:paraId="17BAC95A" w14:textId="77777777" w:rsidR="00D52751" w:rsidRPr="002372C6" w:rsidRDefault="00D52751" w:rsidP="00CD454E">
            <w:pPr>
              <w:jc w:val="both"/>
              <w:rPr>
                <w:rFonts w:ascii="Times New Roman" w:hAnsi="Times New Roman" w:cs="Times New Roman"/>
              </w:rPr>
            </w:pPr>
          </w:p>
        </w:tc>
      </w:tr>
      <w:tr w:rsidR="00D52751" w:rsidRPr="002372C6" w14:paraId="363DC5DC" w14:textId="77777777" w:rsidTr="0053761E">
        <w:trPr>
          <w:gridAfter w:val="1"/>
          <w:wAfter w:w="17" w:type="dxa"/>
        </w:trPr>
        <w:tc>
          <w:tcPr>
            <w:tcW w:w="625" w:type="dxa"/>
          </w:tcPr>
          <w:p w14:paraId="377D5ED0" w14:textId="77777777" w:rsidR="00D52751" w:rsidRPr="002372C6" w:rsidRDefault="00D52751" w:rsidP="009924D9">
            <w:pPr>
              <w:pStyle w:val="ListParagraph"/>
              <w:numPr>
                <w:ilvl w:val="0"/>
                <w:numId w:val="29"/>
              </w:numPr>
              <w:jc w:val="both"/>
              <w:rPr>
                <w:rFonts w:ascii="Times New Roman" w:hAnsi="Times New Roman" w:cs="Times New Roman"/>
              </w:rPr>
            </w:pPr>
          </w:p>
        </w:tc>
        <w:tc>
          <w:tcPr>
            <w:tcW w:w="2861" w:type="dxa"/>
          </w:tcPr>
          <w:p w14:paraId="33306551" w14:textId="77777777" w:rsidR="00D52751" w:rsidRPr="002372C6" w:rsidRDefault="005A03AD" w:rsidP="00CD454E">
            <w:pPr>
              <w:jc w:val="both"/>
              <w:rPr>
                <w:rFonts w:ascii="Times New Roman" w:hAnsi="Times New Roman" w:cs="Times New Roman"/>
              </w:rPr>
            </w:pPr>
            <w:r w:rsidRPr="002372C6">
              <w:rPr>
                <w:rFonts w:ascii="Times New Roman" w:hAnsi="Times New Roman" w:cs="Times New Roman"/>
              </w:rPr>
              <w:t>Monitoring of the implementation of the SEA/SH Action Plan</w:t>
            </w:r>
          </w:p>
          <w:p w14:paraId="075A638F" w14:textId="77777777" w:rsidR="0064483F" w:rsidRPr="002372C6" w:rsidRDefault="0064483F" w:rsidP="00CD454E">
            <w:pPr>
              <w:jc w:val="both"/>
              <w:rPr>
                <w:rFonts w:ascii="Times New Roman" w:hAnsi="Times New Roman" w:cs="Times New Roman"/>
              </w:rPr>
            </w:pPr>
          </w:p>
          <w:p w14:paraId="52ED3CD2" w14:textId="77777777" w:rsidR="0064483F" w:rsidRPr="002372C6" w:rsidRDefault="0064483F" w:rsidP="0064483F">
            <w:pPr>
              <w:jc w:val="both"/>
              <w:rPr>
                <w:rFonts w:ascii="Times New Roman" w:hAnsi="Times New Roman" w:cs="Times New Roman"/>
              </w:rPr>
            </w:pPr>
            <w:r w:rsidRPr="002372C6">
              <w:rPr>
                <w:rFonts w:ascii="Times New Roman" w:hAnsi="Times New Roman" w:cs="Times New Roman"/>
              </w:rPr>
              <w:t>Monitoring is aimed at developing a set of key quantitative and qualitative indicators to manage measure and monitor the progress and effectiveness of the integrated effort to deal with SEAH.</w:t>
            </w:r>
          </w:p>
          <w:p w14:paraId="72432EAF" w14:textId="77777777" w:rsidR="0064483F" w:rsidRPr="002372C6" w:rsidRDefault="0064483F" w:rsidP="0064483F">
            <w:pPr>
              <w:jc w:val="both"/>
              <w:rPr>
                <w:rFonts w:ascii="Times New Roman" w:hAnsi="Times New Roman" w:cs="Times New Roman"/>
              </w:rPr>
            </w:pPr>
          </w:p>
          <w:p w14:paraId="1662ED15" w14:textId="77777777" w:rsidR="0064483F" w:rsidRPr="002372C6" w:rsidRDefault="0064483F" w:rsidP="0064483F">
            <w:pPr>
              <w:jc w:val="both"/>
              <w:rPr>
                <w:rFonts w:ascii="Times New Roman" w:hAnsi="Times New Roman" w:cs="Times New Roman"/>
              </w:rPr>
            </w:pPr>
            <w:r w:rsidRPr="002372C6">
              <w:rPr>
                <w:rFonts w:ascii="Times New Roman" w:hAnsi="Times New Roman" w:cs="Times New Roman"/>
              </w:rPr>
              <w:t>It measures how well the policies are being adhered to, any issues that might emerge in regard to SEAH and recommendation to improve any situation that may arise.</w:t>
            </w:r>
          </w:p>
          <w:p w14:paraId="62DCFD45" w14:textId="77777777" w:rsidR="0064483F" w:rsidRPr="002372C6" w:rsidRDefault="0064483F" w:rsidP="00CD454E">
            <w:pPr>
              <w:jc w:val="both"/>
              <w:rPr>
                <w:rFonts w:ascii="Times New Roman" w:hAnsi="Times New Roman" w:cs="Times New Roman"/>
              </w:rPr>
            </w:pPr>
          </w:p>
          <w:p w14:paraId="5FAB3331" w14:textId="4E8DDBA7" w:rsidR="00CE7B69" w:rsidRPr="002372C6" w:rsidRDefault="00CE7B69" w:rsidP="00CD454E">
            <w:pPr>
              <w:jc w:val="both"/>
              <w:rPr>
                <w:rFonts w:ascii="Times New Roman" w:hAnsi="Times New Roman" w:cs="Times New Roman"/>
              </w:rPr>
            </w:pPr>
          </w:p>
        </w:tc>
        <w:tc>
          <w:tcPr>
            <w:tcW w:w="3486" w:type="dxa"/>
          </w:tcPr>
          <w:p w14:paraId="3F1ED596" w14:textId="77777777" w:rsidR="00D52751" w:rsidRPr="002372C6" w:rsidRDefault="007E22B4" w:rsidP="00CD454E">
            <w:pPr>
              <w:jc w:val="both"/>
              <w:rPr>
                <w:rFonts w:ascii="Times New Roman" w:hAnsi="Times New Roman" w:cs="Times New Roman"/>
              </w:rPr>
            </w:pPr>
            <w:r w:rsidRPr="002372C6">
              <w:rPr>
                <w:rFonts w:ascii="Times New Roman" w:hAnsi="Times New Roman" w:cs="Times New Roman"/>
              </w:rPr>
              <w:lastRenderedPageBreak/>
              <w:t>Implementing agencies</w:t>
            </w:r>
            <w:r w:rsidR="00143680" w:rsidRPr="002372C6">
              <w:rPr>
                <w:rFonts w:ascii="Times New Roman" w:hAnsi="Times New Roman" w:cs="Times New Roman"/>
              </w:rPr>
              <w:t xml:space="preserve"> will monitor implementation of the SEA/SH prevention and response plan.</w:t>
            </w:r>
          </w:p>
          <w:p w14:paraId="4479DDCA" w14:textId="77777777" w:rsidR="00B72711" w:rsidRPr="002372C6" w:rsidRDefault="00B72711" w:rsidP="00CD454E">
            <w:pPr>
              <w:jc w:val="both"/>
              <w:rPr>
                <w:rFonts w:ascii="Times New Roman" w:hAnsi="Times New Roman" w:cs="Times New Roman"/>
              </w:rPr>
            </w:pPr>
          </w:p>
          <w:p w14:paraId="6C32B7CF" w14:textId="77777777" w:rsidR="00B72711" w:rsidRPr="002372C6" w:rsidRDefault="00B72711" w:rsidP="00B72711">
            <w:pPr>
              <w:autoSpaceDE w:val="0"/>
              <w:autoSpaceDN w:val="0"/>
              <w:adjustRightInd w:val="0"/>
              <w:spacing w:line="276" w:lineRule="auto"/>
              <w:rPr>
                <w:rFonts w:ascii="Times New Roman" w:eastAsia="SimSun" w:hAnsi="Times New Roman" w:cs="Times New Roman"/>
                <w:color w:val="000000"/>
                <w:lang w:eastAsia="zh-CN"/>
              </w:rPr>
            </w:pPr>
            <w:r w:rsidRPr="002372C6">
              <w:rPr>
                <w:rFonts w:ascii="Times New Roman" w:eastAsia="SimSun" w:hAnsi="Times New Roman" w:cs="Times New Roman"/>
                <w:color w:val="000000"/>
                <w:lang w:eastAsia="zh-CN"/>
              </w:rPr>
              <w:t xml:space="preserve">Develop instruments meant to measure the magnitude of reported cases of SEAH categorized in their various forms, such as child sexual abuse </w:t>
            </w:r>
          </w:p>
          <w:p w14:paraId="70C27BC1" w14:textId="77777777" w:rsidR="00B72711" w:rsidRPr="002372C6" w:rsidRDefault="00B72711" w:rsidP="009924D9">
            <w:pPr>
              <w:autoSpaceDE w:val="0"/>
              <w:autoSpaceDN w:val="0"/>
              <w:adjustRightInd w:val="0"/>
              <w:spacing w:line="276" w:lineRule="auto"/>
              <w:jc w:val="both"/>
              <w:rPr>
                <w:rFonts w:ascii="Times New Roman" w:eastAsia="SimSun" w:hAnsi="Times New Roman" w:cs="Times New Roman"/>
                <w:color w:val="000000"/>
                <w:lang w:eastAsia="zh-CN"/>
              </w:rPr>
            </w:pPr>
            <w:r w:rsidRPr="002372C6">
              <w:rPr>
                <w:rFonts w:ascii="Times New Roman" w:eastAsia="SimSun" w:hAnsi="Times New Roman" w:cs="Times New Roman"/>
                <w:color w:val="000000"/>
                <w:lang w:eastAsia="zh-CN"/>
              </w:rPr>
              <w:t>Mechanism to measure effectiveness of the various support systems to respond</w:t>
            </w:r>
          </w:p>
          <w:p w14:paraId="53386E8D" w14:textId="77777777" w:rsidR="00B72711" w:rsidRPr="002372C6" w:rsidRDefault="00B72711" w:rsidP="00B72711">
            <w:pPr>
              <w:autoSpaceDE w:val="0"/>
              <w:autoSpaceDN w:val="0"/>
              <w:adjustRightInd w:val="0"/>
              <w:spacing w:line="276" w:lineRule="auto"/>
              <w:rPr>
                <w:rFonts w:ascii="Times New Roman" w:eastAsia="SimSun" w:hAnsi="Times New Roman" w:cs="Times New Roman"/>
                <w:color w:val="000000"/>
                <w:lang w:eastAsia="zh-CN"/>
              </w:rPr>
            </w:pPr>
          </w:p>
          <w:p w14:paraId="7012892E" w14:textId="4C78D962" w:rsidR="00B72711" w:rsidRPr="002372C6" w:rsidRDefault="00B72711" w:rsidP="009924D9">
            <w:pPr>
              <w:autoSpaceDE w:val="0"/>
              <w:autoSpaceDN w:val="0"/>
              <w:adjustRightInd w:val="0"/>
              <w:spacing w:line="276" w:lineRule="auto"/>
              <w:jc w:val="both"/>
              <w:rPr>
                <w:rFonts w:ascii="Times New Roman" w:eastAsia="SimSun" w:hAnsi="Times New Roman" w:cs="Times New Roman"/>
                <w:color w:val="000000"/>
                <w:lang w:eastAsia="zh-CN"/>
              </w:rPr>
            </w:pPr>
            <w:r w:rsidRPr="002372C6">
              <w:rPr>
                <w:rFonts w:ascii="Times New Roman" w:eastAsia="SimSun" w:hAnsi="Times New Roman" w:cs="Times New Roman"/>
                <w:color w:val="000000"/>
                <w:lang w:eastAsia="zh-CN"/>
              </w:rPr>
              <w:t xml:space="preserve">Conduct at least three-time survey to assess: project workers attitudes </w:t>
            </w:r>
            <w:r w:rsidRPr="002372C6">
              <w:rPr>
                <w:rFonts w:ascii="Times New Roman" w:eastAsia="SimSun" w:hAnsi="Times New Roman" w:cs="Times New Roman"/>
                <w:color w:val="000000"/>
                <w:lang w:eastAsia="zh-CN"/>
              </w:rPr>
              <w:lastRenderedPageBreak/>
              <w:t xml:space="preserve">towards the acceptability of SEAH by gender. </w:t>
            </w:r>
          </w:p>
          <w:p w14:paraId="33367D7C" w14:textId="77777777" w:rsidR="00B72711" w:rsidRPr="002372C6" w:rsidRDefault="00B72711" w:rsidP="00B72711">
            <w:pPr>
              <w:autoSpaceDE w:val="0"/>
              <w:autoSpaceDN w:val="0"/>
              <w:adjustRightInd w:val="0"/>
              <w:spacing w:line="276" w:lineRule="auto"/>
              <w:rPr>
                <w:rFonts w:ascii="Times New Roman" w:eastAsia="SimSun" w:hAnsi="Times New Roman" w:cs="Times New Roman"/>
                <w:color w:val="000000"/>
                <w:lang w:eastAsia="zh-CN"/>
              </w:rPr>
            </w:pPr>
          </w:p>
          <w:p w14:paraId="1225A379" w14:textId="1D467656" w:rsidR="00B72711" w:rsidRPr="002372C6" w:rsidRDefault="00B72711" w:rsidP="009924D9">
            <w:pPr>
              <w:autoSpaceDE w:val="0"/>
              <w:autoSpaceDN w:val="0"/>
              <w:adjustRightInd w:val="0"/>
              <w:spacing w:line="276" w:lineRule="auto"/>
              <w:jc w:val="both"/>
              <w:rPr>
                <w:rFonts w:ascii="Times New Roman" w:eastAsia="SimSun" w:hAnsi="Times New Roman" w:cs="Times New Roman"/>
                <w:color w:val="000000"/>
                <w:lang w:eastAsia="zh-CN"/>
              </w:rPr>
            </w:pPr>
            <w:r w:rsidRPr="002372C6">
              <w:rPr>
                <w:rFonts w:ascii="Times New Roman" w:eastAsia="SimSun" w:hAnsi="Times New Roman" w:cs="Times New Roman"/>
                <w:color w:val="000000"/>
                <w:lang w:eastAsia="zh-CN"/>
              </w:rPr>
              <w:t>Develop mechanisms to measure the impact of Public Education, Awareness Creation and Campaigns conducted by the SEAH teams.</w:t>
            </w:r>
          </w:p>
          <w:p w14:paraId="4D003D8F" w14:textId="77777777" w:rsidR="00B72711" w:rsidRPr="002372C6" w:rsidRDefault="00B72711" w:rsidP="00B72711">
            <w:pPr>
              <w:autoSpaceDE w:val="0"/>
              <w:autoSpaceDN w:val="0"/>
              <w:adjustRightInd w:val="0"/>
              <w:spacing w:line="276" w:lineRule="auto"/>
              <w:rPr>
                <w:rFonts w:ascii="Times New Roman" w:eastAsia="SimSun" w:hAnsi="Times New Roman" w:cs="Times New Roman"/>
                <w:color w:val="000000"/>
                <w:lang w:eastAsia="zh-CN"/>
              </w:rPr>
            </w:pPr>
          </w:p>
          <w:p w14:paraId="48FD12E0" w14:textId="5AB781ED" w:rsidR="00B72711" w:rsidRPr="002372C6" w:rsidRDefault="00B72711" w:rsidP="009924D9">
            <w:pPr>
              <w:autoSpaceDE w:val="0"/>
              <w:autoSpaceDN w:val="0"/>
              <w:adjustRightInd w:val="0"/>
              <w:spacing w:line="276" w:lineRule="auto"/>
              <w:jc w:val="both"/>
              <w:rPr>
                <w:rFonts w:ascii="Times New Roman" w:eastAsia="SimSun" w:hAnsi="Times New Roman" w:cs="Times New Roman"/>
                <w:color w:val="000000"/>
                <w:lang w:eastAsia="zh-CN"/>
              </w:rPr>
            </w:pPr>
            <w:r w:rsidRPr="002372C6">
              <w:rPr>
                <w:rFonts w:ascii="Times New Roman" w:eastAsia="SimSun" w:hAnsi="Times New Roman" w:cs="Times New Roman"/>
                <w:color w:val="000000"/>
                <w:lang w:eastAsia="zh-CN"/>
              </w:rPr>
              <w:t xml:space="preserve">From time to time set up process indicators to assess how the project is being implemented. </w:t>
            </w:r>
          </w:p>
          <w:p w14:paraId="665B617A" w14:textId="77777777" w:rsidR="00B72711" w:rsidRPr="002372C6" w:rsidRDefault="00B72711" w:rsidP="00B72711">
            <w:pPr>
              <w:autoSpaceDE w:val="0"/>
              <w:autoSpaceDN w:val="0"/>
              <w:adjustRightInd w:val="0"/>
              <w:spacing w:line="276" w:lineRule="auto"/>
              <w:ind w:left="360"/>
              <w:rPr>
                <w:rFonts w:ascii="Times New Roman" w:eastAsia="SimSun" w:hAnsi="Times New Roman" w:cs="Times New Roman"/>
                <w:color w:val="000000"/>
                <w:lang w:eastAsia="zh-CN"/>
              </w:rPr>
            </w:pPr>
          </w:p>
          <w:p w14:paraId="7E3FAF3D" w14:textId="2FCA04E0" w:rsidR="00B72711" w:rsidRPr="002372C6" w:rsidRDefault="00B72711" w:rsidP="00B72711">
            <w:pPr>
              <w:jc w:val="both"/>
              <w:rPr>
                <w:rFonts w:ascii="Times New Roman" w:hAnsi="Times New Roman" w:cs="Times New Roman"/>
              </w:rPr>
            </w:pPr>
            <w:r w:rsidRPr="002372C6">
              <w:rPr>
                <w:rFonts w:ascii="Times New Roman" w:eastAsia="SimSun" w:hAnsi="Times New Roman" w:cs="Times New Roman"/>
                <w:color w:val="000000"/>
                <w:lang w:eastAsia="zh-CN"/>
              </w:rPr>
              <w:t>Monitor and account for activities under the National Strategic Action Plan.</w:t>
            </w:r>
          </w:p>
          <w:p w14:paraId="7524D54B" w14:textId="77777777" w:rsidR="00143680" w:rsidRPr="002372C6" w:rsidRDefault="00143680" w:rsidP="00CD454E">
            <w:pPr>
              <w:jc w:val="both"/>
              <w:rPr>
                <w:rFonts w:ascii="Times New Roman" w:hAnsi="Times New Roman" w:cs="Times New Roman"/>
              </w:rPr>
            </w:pPr>
          </w:p>
          <w:p w14:paraId="45D7D2A4" w14:textId="39BF0186" w:rsidR="00143680" w:rsidRPr="002372C6" w:rsidRDefault="00143680" w:rsidP="00CD454E">
            <w:pPr>
              <w:jc w:val="both"/>
              <w:rPr>
                <w:rFonts w:ascii="Times New Roman" w:hAnsi="Times New Roman" w:cs="Times New Roman"/>
              </w:rPr>
            </w:pPr>
            <w:r w:rsidRPr="002372C6">
              <w:rPr>
                <w:rFonts w:ascii="Times New Roman" w:hAnsi="Times New Roman" w:cs="Times New Roman"/>
              </w:rPr>
              <w:t xml:space="preserve">World Bank mission follow up on </w:t>
            </w:r>
            <w:r w:rsidR="00282D25" w:rsidRPr="002372C6">
              <w:rPr>
                <w:rFonts w:ascii="Times New Roman" w:hAnsi="Times New Roman" w:cs="Times New Roman"/>
              </w:rPr>
              <w:t>implementation of the SEA/SH prevention and response plan.</w:t>
            </w:r>
          </w:p>
        </w:tc>
        <w:tc>
          <w:tcPr>
            <w:tcW w:w="1393" w:type="dxa"/>
          </w:tcPr>
          <w:p w14:paraId="68DD71E1" w14:textId="77777777" w:rsidR="0011361B" w:rsidRPr="002372C6" w:rsidRDefault="0011361B" w:rsidP="0011361B">
            <w:pPr>
              <w:spacing w:line="276" w:lineRule="auto"/>
              <w:rPr>
                <w:rFonts w:ascii="Times New Roman" w:eastAsia="SimSun" w:hAnsi="Times New Roman" w:cs="Times New Roman"/>
                <w:lang w:eastAsia="zh-CN"/>
              </w:rPr>
            </w:pPr>
            <w:r w:rsidRPr="002372C6">
              <w:rPr>
                <w:rFonts w:ascii="Times New Roman" w:eastAsia="SimSun" w:hAnsi="Times New Roman" w:cs="Times New Roman"/>
                <w:lang w:eastAsia="zh-CN"/>
              </w:rPr>
              <w:lastRenderedPageBreak/>
              <w:t xml:space="preserve">Throughout the project implementation </w:t>
            </w:r>
          </w:p>
          <w:p w14:paraId="1266AC4B" w14:textId="77777777" w:rsidR="0011361B" w:rsidRPr="002372C6" w:rsidRDefault="0011361B" w:rsidP="0011361B">
            <w:pPr>
              <w:spacing w:line="276" w:lineRule="auto"/>
              <w:rPr>
                <w:rFonts w:ascii="Times New Roman" w:eastAsia="SimSun" w:hAnsi="Times New Roman" w:cs="Times New Roman"/>
                <w:lang w:eastAsia="zh-CN"/>
              </w:rPr>
            </w:pPr>
          </w:p>
          <w:p w14:paraId="07EC6DC6" w14:textId="77777777" w:rsidR="0011361B" w:rsidRPr="002372C6" w:rsidRDefault="0011361B" w:rsidP="0011361B">
            <w:pPr>
              <w:spacing w:line="276" w:lineRule="auto"/>
              <w:rPr>
                <w:rFonts w:ascii="Times New Roman" w:eastAsia="SimSun" w:hAnsi="Times New Roman" w:cs="Times New Roman"/>
                <w:lang w:eastAsia="zh-CN"/>
              </w:rPr>
            </w:pPr>
            <w:r w:rsidRPr="002372C6">
              <w:rPr>
                <w:rFonts w:ascii="Times New Roman" w:eastAsia="SimSun" w:hAnsi="Times New Roman" w:cs="Times New Roman"/>
                <w:lang w:eastAsia="zh-CN"/>
              </w:rPr>
              <w:t>Monitor implementation throughout Project implementation</w:t>
            </w:r>
          </w:p>
          <w:p w14:paraId="2CCA7AF6" w14:textId="77777777" w:rsidR="0011361B" w:rsidRPr="002372C6" w:rsidRDefault="0011361B" w:rsidP="00CD454E">
            <w:pPr>
              <w:jc w:val="both"/>
              <w:rPr>
                <w:rFonts w:ascii="Times New Roman" w:hAnsi="Times New Roman" w:cs="Times New Roman"/>
              </w:rPr>
            </w:pPr>
          </w:p>
          <w:p w14:paraId="0682F429" w14:textId="77777777" w:rsidR="0011361B" w:rsidRPr="002372C6" w:rsidRDefault="0011361B" w:rsidP="00CD454E">
            <w:pPr>
              <w:jc w:val="both"/>
              <w:rPr>
                <w:rFonts w:ascii="Times New Roman" w:hAnsi="Times New Roman" w:cs="Times New Roman"/>
              </w:rPr>
            </w:pPr>
          </w:p>
          <w:p w14:paraId="03B8B061" w14:textId="6EDBEF94" w:rsidR="00D52751" w:rsidRPr="002372C6" w:rsidRDefault="00892F33" w:rsidP="00CD454E">
            <w:pPr>
              <w:jc w:val="both"/>
              <w:rPr>
                <w:rFonts w:ascii="Times New Roman" w:hAnsi="Times New Roman" w:cs="Times New Roman"/>
              </w:rPr>
            </w:pPr>
            <w:r w:rsidRPr="002372C6">
              <w:rPr>
                <w:rFonts w:ascii="Times New Roman" w:hAnsi="Times New Roman" w:cs="Times New Roman"/>
              </w:rPr>
              <w:t xml:space="preserve">Annual </w:t>
            </w:r>
          </w:p>
        </w:tc>
        <w:tc>
          <w:tcPr>
            <w:tcW w:w="1744" w:type="dxa"/>
          </w:tcPr>
          <w:p w14:paraId="5E8A6401" w14:textId="77777777" w:rsidR="00892F33" w:rsidRPr="002372C6" w:rsidRDefault="00892F33" w:rsidP="00892F33">
            <w:pPr>
              <w:jc w:val="both"/>
              <w:rPr>
                <w:rFonts w:ascii="Times New Roman" w:hAnsi="Times New Roman" w:cs="Times New Roman"/>
              </w:rPr>
            </w:pPr>
            <w:r w:rsidRPr="002372C6">
              <w:rPr>
                <w:rFonts w:ascii="Times New Roman" w:hAnsi="Times New Roman" w:cs="Times New Roman"/>
              </w:rPr>
              <w:t>ICTA Authority GBV focal point.</w:t>
            </w:r>
          </w:p>
          <w:p w14:paraId="4A4ECB95" w14:textId="77777777" w:rsidR="00C30630" w:rsidRPr="002372C6" w:rsidRDefault="00C30630" w:rsidP="00892F33">
            <w:pPr>
              <w:jc w:val="both"/>
              <w:rPr>
                <w:rFonts w:ascii="Times New Roman" w:hAnsi="Times New Roman" w:cs="Times New Roman"/>
              </w:rPr>
            </w:pPr>
          </w:p>
          <w:p w14:paraId="2766C326" w14:textId="77777777" w:rsidR="00C30630" w:rsidRPr="002372C6" w:rsidRDefault="00C30630" w:rsidP="00892F33">
            <w:pPr>
              <w:jc w:val="both"/>
              <w:rPr>
                <w:rFonts w:ascii="Times New Roman" w:hAnsi="Times New Roman" w:cs="Times New Roman"/>
              </w:rPr>
            </w:pPr>
          </w:p>
          <w:p w14:paraId="78F40A99" w14:textId="44CAD596" w:rsidR="00C30630" w:rsidRPr="002372C6" w:rsidRDefault="00C30630" w:rsidP="00892F33">
            <w:pPr>
              <w:jc w:val="both"/>
              <w:rPr>
                <w:rFonts w:ascii="Times New Roman" w:hAnsi="Times New Roman" w:cs="Times New Roman"/>
              </w:rPr>
            </w:pPr>
            <w:r w:rsidRPr="002372C6">
              <w:rPr>
                <w:rFonts w:ascii="Times New Roman" w:hAnsi="Times New Roman" w:cs="Times New Roman"/>
              </w:rPr>
              <w:t xml:space="preserve">World Bank mission every six month. </w:t>
            </w:r>
          </w:p>
          <w:p w14:paraId="5F5321B3" w14:textId="77777777" w:rsidR="00D52751" w:rsidRPr="002372C6" w:rsidRDefault="00D52751" w:rsidP="00CD454E">
            <w:pPr>
              <w:jc w:val="both"/>
              <w:rPr>
                <w:rFonts w:ascii="Times New Roman" w:hAnsi="Times New Roman" w:cs="Times New Roman"/>
              </w:rPr>
            </w:pPr>
          </w:p>
        </w:tc>
        <w:tc>
          <w:tcPr>
            <w:tcW w:w="1226" w:type="dxa"/>
          </w:tcPr>
          <w:p w14:paraId="1340AD2B" w14:textId="10A15519" w:rsidR="00D52751" w:rsidRPr="002372C6" w:rsidRDefault="00282D25" w:rsidP="00CD454E">
            <w:pPr>
              <w:jc w:val="both"/>
              <w:rPr>
                <w:rFonts w:ascii="Times New Roman" w:hAnsi="Times New Roman" w:cs="Times New Roman"/>
              </w:rPr>
            </w:pPr>
            <w:r w:rsidRPr="002372C6">
              <w:rPr>
                <w:rFonts w:ascii="Times New Roman" w:hAnsi="Times New Roman" w:cs="Times New Roman"/>
              </w:rPr>
              <w:t>PIU Coordinator</w:t>
            </w:r>
          </w:p>
        </w:tc>
        <w:tc>
          <w:tcPr>
            <w:tcW w:w="1890" w:type="dxa"/>
          </w:tcPr>
          <w:p w14:paraId="5B25849E" w14:textId="77777777" w:rsidR="00955B27" w:rsidRPr="002372C6" w:rsidRDefault="00955B27"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Number of instruments that integrate and monitor SEAH</w:t>
            </w:r>
          </w:p>
          <w:p w14:paraId="495D9623" w14:textId="77777777" w:rsidR="00955B27" w:rsidRPr="002372C6" w:rsidRDefault="00955B27" w:rsidP="00955B27">
            <w:pPr>
              <w:spacing w:line="276" w:lineRule="auto"/>
              <w:rPr>
                <w:rFonts w:ascii="Times New Roman" w:eastAsia="SimSun" w:hAnsi="Times New Roman" w:cs="Times New Roman"/>
                <w:lang w:eastAsia="zh-CN"/>
              </w:rPr>
            </w:pPr>
          </w:p>
          <w:p w14:paraId="26559668" w14:textId="77777777" w:rsidR="00955B27" w:rsidRPr="002372C6" w:rsidRDefault="00955B27" w:rsidP="00955B27">
            <w:pPr>
              <w:spacing w:line="276" w:lineRule="auto"/>
              <w:rPr>
                <w:rFonts w:ascii="Times New Roman" w:eastAsia="SimSun" w:hAnsi="Times New Roman" w:cs="Times New Roman"/>
                <w:lang w:eastAsia="zh-CN"/>
              </w:rPr>
            </w:pPr>
          </w:p>
          <w:p w14:paraId="3C77D784" w14:textId="77777777" w:rsidR="00955B27" w:rsidRPr="002372C6" w:rsidRDefault="00955B27" w:rsidP="00955B27">
            <w:pPr>
              <w:spacing w:line="276" w:lineRule="auto"/>
              <w:rPr>
                <w:rFonts w:ascii="Times New Roman" w:eastAsia="SimSun" w:hAnsi="Times New Roman" w:cs="Times New Roman"/>
                <w:lang w:eastAsia="zh-CN"/>
              </w:rPr>
            </w:pPr>
          </w:p>
          <w:p w14:paraId="5C93C495" w14:textId="77777777" w:rsidR="00955B27" w:rsidRPr="002372C6" w:rsidRDefault="00955B27" w:rsidP="00955B27">
            <w:pPr>
              <w:spacing w:line="276" w:lineRule="auto"/>
              <w:rPr>
                <w:rFonts w:ascii="Times New Roman" w:eastAsia="SimSun" w:hAnsi="Times New Roman" w:cs="Times New Roman"/>
                <w:lang w:eastAsia="zh-CN"/>
              </w:rPr>
            </w:pPr>
          </w:p>
          <w:p w14:paraId="2BE97BF8" w14:textId="77777777" w:rsidR="00955B27" w:rsidRPr="002372C6" w:rsidRDefault="00955B27"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 xml:space="preserve">Monitoring reports on workers’ attitudes, compliance to CoCs, </w:t>
            </w:r>
          </w:p>
          <w:p w14:paraId="3745ABE4" w14:textId="77777777" w:rsidR="00955B27" w:rsidRPr="002372C6" w:rsidRDefault="00955B27" w:rsidP="00955B27">
            <w:pPr>
              <w:spacing w:line="276" w:lineRule="auto"/>
              <w:rPr>
                <w:rFonts w:ascii="Times New Roman" w:eastAsia="SimSun" w:hAnsi="Times New Roman" w:cs="Times New Roman"/>
                <w:lang w:eastAsia="zh-CN"/>
              </w:rPr>
            </w:pPr>
          </w:p>
          <w:p w14:paraId="06E018A8" w14:textId="77777777" w:rsidR="00955B27" w:rsidRPr="002372C6" w:rsidRDefault="00955B27"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lastRenderedPageBreak/>
              <w:t xml:space="preserve">Monitoring reports on SEAH incidence reporting and referral (access to services). </w:t>
            </w:r>
          </w:p>
          <w:p w14:paraId="5E1E9BCD" w14:textId="77777777" w:rsidR="00955B27" w:rsidRPr="002372C6" w:rsidRDefault="00955B27" w:rsidP="00955B27">
            <w:pPr>
              <w:spacing w:line="276" w:lineRule="auto"/>
              <w:rPr>
                <w:rFonts w:ascii="Times New Roman" w:eastAsia="SimSun" w:hAnsi="Times New Roman" w:cs="Times New Roman"/>
                <w:lang w:eastAsia="zh-CN"/>
              </w:rPr>
            </w:pPr>
          </w:p>
          <w:p w14:paraId="574BFF35" w14:textId="77777777" w:rsidR="00955B27" w:rsidRPr="002372C6" w:rsidRDefault="00955B27" w:rsidP="009924D9">
            <w:pPr>
              <w:spacing w:line="276" w:lineRule="auto"/>
              <w:jc w:val="both"/>
              <w:rPr>
                <w:rFonts w:ascii="Times New Roman" w:eastAsia="SimSun" w:hAnsi="Times New Roman" w:cs="Times New Roman"/>
                <w:lang w:eastAsia="zh-CN"/>
              </w:rPr>
            </w:pPr>
          </w:p>
          <w:p w14:paraId="198A7823" w14:textId="77777777" w:rsidR="00955B27" w:rsidRPr="002372C6" w:rsidRDefault="00955B27"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How effective is the support and interventions offered to victims of SEAH?</w:t>
            </w:r>
          </w:p>
          <w:p w14:paraId="702F8F0F" w14:textId="77777777" w:rsidR="00955B27" w:rsidRPr="002372C6" w:rsidRDefault="00955B27" w:rsidP="009924D9">
            <w:pPr>
              <w:spacing w:line="276" w:lineRule="auto"/>
              <w:jc w:val="both"/>
              <w:rPr>
                <w:rFonts w:ascii="Times New Roman" w:eastAsia="SimSun" w:hAnsi="Times New Roman" w:cs="Times New Roman"/>
                <w:lang w:eastAsia="zh-CN"/>
              </w:rPr>
            </w:pPr>
          </w:p>
          <w:p w14:paraId="6B902310" w14:textId="77777777" w:rsidR="00955B27" w:rsidRPr="002372C6" w:rsidRDefault="00955B27"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How many success stories have been reported in relation to SEAH?</w:t>
            </w:r>
          </w:p>
          <w:p w14:paraId="3AAF73FB" w14:textId="77777777" w:rsidR="009924D9" w:rsidRPr="002372C6" w:rsidRDefault="009924D9" w:rsidP="009924D9">
            <w:pPr>
              <w:spacing w:line="276" w:lineRule="auto"/>
              <w:jc w:val="both"/>
              <w:rPr>
                <w:rFonts w:ascii="Times New Roman" w:eastAsia="SimSun" w:hAnsi="Times New Roman" w:cs="Times New Roman"/>
                <w:lang w:eastAsia="zh-CN"/>
              </w:rPr>
            </w:pPr>
          </w:p>
          <w:p w14:paraId="208DCBF5" w14:textId="139E1D51" w:rsidR="00955B27" w:rsidRPr="002372C6" w:rsidRDefault="00955B27" w:rsidP="009924D9">
            <w:pPr>
              <w:jc w:val="both"/>
              <w:rPr>
                <w:rFonts w:ascii="Times New Roman" w:hAnsi="Times New Roman" w:cs="Times New Roman"/>
              </w:rPr>
            </w:pPr>
            <w:r w:rsidRPr="002372C6">
              <w:rPr>
                <w:rFonts w:ascii="Times New Roman" w:eastAsia="SimSun" w:hAnsi="Times New Roman" w:cs="Times New Roman"/>
                <w:lang w:eastAsia="zh-CN"/>
              </w:rPr>
              <w:t>Shift in attitude of project workers.</w:t>
            </w:r>
          </w:p>
          <w:p w14:paraId="099CB056" w14:textId="77777777" w:rsidR="00955B27" w:rsidRPr="002372C6" w:rsidRDefault="00955B27" w:rsidP="009924D9">
            <w:pPr>
              <w:jc w:val="both"/>
              <w:rPr>
                <w:rFonts w:ascii="Times New Roman" w:hAnsi="Times New Roman" w:cs="Times New Roman"/>
              </w:rPr>
            </w:pPr>
          </w:p>
          <w:p w14:paraId="62FFFA7D" w14:textId="77777777" w:rsidR="00D52751" w:rsidRPr="002372C6" w:rsidRDefault="00C30630" w:rsidP="009924D9">
            <w:pPr>
              <w:jc w:val="both"/>
              <w:rPr>
                <w:rFonts w:ascii="Times New Roman" w:hAnsi="Times New Roman" w:cs="Times New Roman"/>
              </w:rPr>
            </w:pPr>
            <w:r w:rsidRPr="002372C6">
              <w:rPr>
                <w:rFonts w:ascii="Times New Roman" w:hAnsi="Times New Roman" w:cs="Times New Roman"/>
              </w:rPr>
              <w:t xml:space="preserve">Annual monitoring reports </w:t>
            </w:r>
          </w:p>
          <w:p w14:paraId="333FF5A2" w14:textId="78013FF8" w:rsidR="009924D9" w:rsidRPr="002372C6" w:rsidRDefault="009924D9" w:rsidP="00CD454E">
            <w:pPr>
              <w:jc w:val="both"/>
              <w:rPr>
                <w:rFonts w:ascii="Times New Roman" w:hAnsi="Times New Roman" w:cs="Times New Roman"/>
              </w:rPr>
            </w:pPr>
          </w:p>
        </w:tc>
        <w:tc>
          <w:tcPr>
            <w:tcW w:w="1260" w:type="dxa"/>
          </w:tcPr>
          <w:p w14:paraId="37BF055E" w14:textId="77777777" w:rsidR="00D52751" w:rsidRPr="002372C6" w:rsidRDefault="00D52751" w:rsidP="00CD454E">
            <w:pPr>
              <w:jc w:val="both"/>
              <w:rPr>
                <w:rFonts w:ascii="Times New Roman" w:hAnsi="Times New Roman" w:cs="Times New Roman"/>
              </w:rPr>
            </w:pPr>
          </w:p>
        </w:tc>
      </w:tr>
      <w:tr w:rsidR="00A225C5" w:rsidRPr="002372C6" w14:paraId="1EFB909D" w14:textId="77777777" w:rsidTr="00FE491C">
        <w:trPr>
          <w:gridAfter w:val="1"/>
          <w:wAfter w:w="17" w:type="dxa"/>
        </w:trPr>
        <w:tc>
          <w:tcPr>
            <w:tcW w:w="625" w:type="dxa"/>
          </w:tcPr>
          <w:p w14:paraId="213E4AB1" w14:textId="0E93249A" w:rsidR="00A225C5" w:rsidRPr="002372C6" w:rsidRDefault="0001744F" w:rsidP="0001744F">
            <w:pPr>
              <w:pStyle w:val="ListParagraph"/>
              <w:ind w:left="0"/>
              <w:jc w:val="both"/>
              <w:rPr>
                <w:rFonts w:ascii="Times New Roman" w:hAnsi="Times New Roman" w:cs="Times New Roman"/>
              </w:rPr>
            </w:pPr>
            <w:r w:rsidRPr="002372C6">
              <w:rPr>
                <w:rFonts w:ascii="Times New Roman" w:hAnsi="Times New Roman" w:cs="Times New Roman"/>
                <w:b/>
                <w:bCs/>
              </w:rPr>
              <w:t>5.</w:t>
            </w:r>
          </w:p>
        </w:tc>
        <w:tc>
          <w:tcPr>
            <w:tcW w:w="13860" w:type="dxa"/>
            <w:gridSpan w:val="7"/>
          </w:tcPr>
          <w:p w14:paraId="38EE09D2" w14:textId="293A02D3" w:rsidR="00A225C5" w:rsidRPr="002372C6" w:rsidRDefault="00A225C5" w:rsidP="00CD454E">
            <w:pPr>
              <w:jc w:val="both"/>
              <w:rPr>
                <w:rFonts w:ascii="Times New Roman" w:hAnsi="Times New Roman" w:cs="Times New Roman"/>
              </w:rPr>
            </w:pPr>
            <w:r w:rsidRPr="002372C6">
              <w:rPr>
                <w:rFonts w:ascii="Times New Roman" w:eastAsia="SimSun" w:hAnsi="Times New Roman" w:cs="Times New Roman"/>
                <w:b/>
                <w:lang w:eastAsia="zh-CN"/>
              </w:rPr>
              <w:t>Grievance Management (GM) for SEAH Responsive Reporting</w:t>
            </w:r>
          </w:p>
        </w:tc>
      </w:tr>
      <w:tr w:rsidR="0001744F" w:rsidRPr="002372C6" w14:paraId="25BFDE7E" w14:textId="77777777" w:rsidTr="0053761E">
        <w:trPr>
          <w:gridAfter w:val="1"/>
          <w:wAfter w:w="17" w:type="dxa"/>
        </w:trPr>
        <w:tc>
          <w:tcPr>
            <w:tcW w:w="625" w:type="dxa"/>
          </w:tcPr>
          <w:p w14:paraId="30B50437" w14:textId="77777777" w:rsidR="0001744F" w:rsidRPr="002372C6" w:rsidRDefault="0001744F" w:rsidP="0001744F">
            <w:pPr>
              <w:pStyle w:val="ListParagraph"/>
              <w:ind w:left="360"/>
              <w:jc w:val="both"/>
              <w:rPr>
                <w:rFonts w:ascii="Times New Roman" w:hAnsi="Times New Roman" w:cs="Times New Roman"/>
              </w:rPr>
            </w:pPr>
          </w:p>
        </w:tc>
        <w:tc>
          <w:tcPr>
            <w:tcW w:w="2861" w:type="dxa"/>
          </w:tcPr>
          <w:p w14:paraId="4E424D83" w14:textId="77777777" w:rsidR="0001744F" w:rsidRPr="002372C6" w:rsidRDefault="0001744F" w:rsidP="0001744F">
            <w:pPr>
              <w:autoSpaceDE w:val="0"/>
              <w:autoSpaceDN w:val="0"/>
              <w:adjustRightInd w:val="0"/>
              <w:spacing w:line="276" w:lineRule="auto"/>
              <w:jc w:val="both"/>
              <w:rPr>
                <w:rFonts w:ascii="Times New Roman" w:eastAsia="SimSun" w:hAnsi="Times New Roman" w:cs="Times New Roman"/>
                <w:color w:val="000000"/>
                <w:lang w:eastAsia="zh-CN"/>
              </w:rPr>
            </w:pPr>
            <w:r w:rsidRPr="002372C6">
              <w:rPr>
                <w:rFonts w:ascii="Times New Roman" w:eastAsia="SimSun" w:hAnsi="Times New Roman" w:cs="Times New Roman"/>
                <w:color w:val="000000"/>
                <w:lang w:eastAsia="zh-CN"/>
              </w:rPr>
              <w:t>The purpose for GM is to safe channels for reporting any cases of sexual harassment or sexual exploitation and abuse.</w:t>
            </w:r>
          </w:p>
          <w:p w14:paraId="27F5DDF0" w14:textId="77777777" w:rsidR="0001744F" w:rsidRPr="002372C6" w:rsidRDefault="0001744F" w:rsidP="0001744F">
            <w:pPr>
              <w:autoSpaceDE w:val="0"/>
              <w:autoSpaceDN w:val="0"/>
              <w:adjustRightInd w:val="0"/>
              <w:spacing w:line="276" w:lineRule="auto"/>
              <w:jc w:val="both"/>
              <w:rPr>
                <w:rFonts w:ascii="Times New Roman" w:eastAsia="SimSun" w:hAnsi="Times New Roman" w:cs="Times New Roman"/>
                <w:color w:val="000000"/>
                <w:lang w:eastAsia="zh-CN"/>
              </w:rPr>
            </w:pPr>
          </w:p>
          <w:p w14:paraId="2B6F7AE3" w14:textId="60A47BFF" w:rsidR="0001744F" w:rsidRPr="002372C6" w:rsidRDefault="0001744F" w:rsidP="0001744F">
            <w:pPr>
              <w:jc w:val="both"/>
              <w:rPr>
                <w:rFonts w:ascii="Times New Roman" w:hAnsi="Times New Roman" w:cs="Times New Roman"/>
              </w:rPr>
            </w:pPr>
            <w:r w:rsidRPr="002372C6">
              <w:rPr>
                <w:rFonts w:ascii="Times New Roman" w:hAnsi="Times New Roman" w:cs="Times New Roman"/>
                <w:bCs/>
              </w:rPr>
              <w:t>The focus is c</w:t>
            </w:r>
            <w:r w:rsidRPr="002372C6">
              <w:rPr>
                <w:rFonts w:ascii="Times New Roman" w:hAnsi="Times New Roman" w:cs="Times New Roman"/>
              </w:rPr>
              <w:t>onfidentiality to protect the privacy and choices of the victim, and urgency to preserve evidence and access assistance and care for the victim</w:t>
            </w:r>
          </w:p>
        </w:tc>
        <w:tc>
          <w:tcPr>
            <w:tcW w:w="3486" w:type="dxa"/>
          </w:tcPr>
          <w:p w14:paraId="26C2F433" w14:textId="72C6D629" w:rsidR="0001744F" w:rsidRPr="002372C6" w:rsidRDefault="0001744F"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lastRenderedPageBreak/>
              <w:t xml:space="preserve">Review and amend the existing GM to ensure it meets the SEAH needs that currently exist. This should include evaluating the existing entry </w:t>
            </w:r>
            <w:r w:rsidRPr="002372C6">
              <w:rPr>
                <w:rFonts w:ascii="Times New Roman" w:eastAsia="SimSun" w:hAnsi="Times New Roman" w:cs="Times New Roman"/>
                <w:lang w:eastAsia="zh-CN"/>
              </w:rPr>
              <w:lastRenderedPageBreak/>
              <w:t>points (are they safe and reliable, accessible), and establishing protocols for safe and confidential data sharing, collection, and storage.</w:t>
            </w:r>
          </w:p>
          <w:p w14:paraId="5A54A236" w14:textId="77777777" w:rsidR="0001744F" w:rsidRPr="002372C6" w:rsidRDefault="0001744F" w:rsidP="0001744F">
            <w:pPr>
              <w:spacing w:line="276" w:lineRule="auto"/>
              <w:ind w:left="360"/>
              <w:jc w:val="both"/>
              <w:rPr>
                <w:rFonts w:ascii="Times New Roman" w:eastAsia="SimSun" w:hAnsi="Times New Roman" w:cs="Times New Roman"/>
                <w:lang w:eastAsia="zh-CN"/>
              </w:rPr>
            </w:pPr>
          </w:p>
          <w:p w14:paraId="201F163B" w14:textId="77777777" w:rsidR="0001744F" w:rsidRPr="002372C6" w:rsidRDefault="0001744F" w:rsidP="0001744F">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Guide the community and employees on the channels of reporting cases of SEAH and what constitutes sexual harassment as per the guidelines.</w:t>
            </w:r>
          </w:p>
          <w:p w14:paraId="5408B39D" w14:textId="77777777" w:rsidR="0001744F" w:rsidRPr="002372C6" w:rsidRDefault="0001744F" w:rsidP="0001744F">
            <w:pPr>
              <w:spacing w:line="276" w:lineRule="auto"/>
              <w:jc w:val="both"/>
              <w:rPr>
                <w:rFonts w:ascii="Times New Roman" w:eastAsia="SimSun" w:hAnsi="Times New Roman" w:cs="Times New Roman"/>
                <w:lang w:eastAsia="zh-CN"/>
              </w:rPr>
            </w:pPr>
          </w:p>
          <w:p w14:paraId="6ECA2630" w14:textId="63A496C5" w:rsidR="0001744F" w:rsidRPr="002372C6" w:rsidRDefault="0001744F" w:rsidP="0001744F">
            <w:pPr>
              <w:jc w:val="both"/>
              <w:rPr>
                <w:rFonts w:ascii="Times New Roman" w:hAnsi="Times New Roman" w:cs="Times New Roman"/>
              </w:rPr>
            </w:pPr>
            <w:r w:rsidRPr="002372C6">
              <w:rPr>
                <w:rFonts w:ascii="Times New Roman" w:eastAsia="SimSun" w:hAnsi="Times New Roman" w:cs="Times New Roman"/>
                <w:lang w:eastAsia="zh-CN"/>
              </w:rPr>
              <w:t>Outline for the employees the penalties and disciplinary actions that will be taken against anyone that breaches the code of conduct.</w:t>
            </w:r>
          </w:p>
        </w:tc>
        <w:tc>
          <w:tcPr>
            <w:tcW w:w="1393" w:type="dxa"/>
          </w:tcPr>
          <w:p w14:paraId="3C38EC64" w14:textId="77777777" w:rsidR="0001744F" w:rsidRPr="002372C6" w:rsidRDefault="0001744F" w:rsidP="0001744F">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lastRenderedPageBreak/>
              <w:t xml:space="preserve">First three months after disbursement </w:t>
            </w:r>
          </w:p>
          <w:p w14:paraId="6ED19696" w14:textId="77777777" w:rsidR="0001744F" w:rsidRPr="002372C6" w:rsidRDefault="0001744F" w:rsidP="0001744F">
            <w:pPr>
              <w:spacing w:line="276" w:lineRule="auto"/>
              <w:jc w:val="both"/>
              <w:rPr>
                <w:rFonts w:ascii="Times New Roman" w:eastAsia="SimSun" w:hAnsi="Times New Roman" w:cs="Times New Roman"/>
                <w:lang w:eastAsia="zh-CN"/>
              </w:rPr>
            </w:pPr>
          </w:p>
          <w:p w14:paraId="798AE5A9" w14:textId="77777777" w:rsidR="0001744F" w:rsidRPr="002372C6" w:rsidRDefault="0001744F" w:rsidP="0001744F">
            <w:pPr>
              <w:spacing w:line="276" w:lineRule="auto"/>
              <w:jc w:val="both"/>
              <w:rPr>
                <w:rFonts w:ascii="Times New Roman" w:eastAsia="SimSun" w:hAnsi="Times New Roman" w:cs="Times New Roman"/>
                <w:lang w:eastAsia="zh-CN"/>
              </w:rPr>
            </w:pPr>
          </w:p>
          <w:p w14:paraId="60997742" w14:textId="77777777" w:rsidR="0001744F" w:rsidRPr="002372C6" w:rsidRDefault="0001744F" w:rsidP="0001744F">
            <w:pPr>
              <w:spacing w:line="276" w:lineRule="auto"/>
              <w:jc w:val="both"/>
              <w:rPr>
                <w:rFonts w:ascii="Times New Roman" w:eastAsia="SimSun" w:hAnsi="Times New Roman" w:cs="Times New Roman"/>
                <w:lang w:eastAsia="zh-CN"/>
              </w:rPr>
            </w:pPr>
          </w:p>
          <w:p w14:paraId="7A810A58" w14:textId="77777777" w:rsidR="0001744F" w:rsidRPr="002372C6" w:rsidRDefault="0001744F" w:rsidP="0001744F">
            <w:pPr>
              <w:spacing w:line="276" w:lineRule="auto"/>
              <w:jc w:val="both"/>
              <w:rPr>
                <w:rFonts w:ascii="Times New Roman" w:eastAsia="SimSun" w:hAnsi="Times New Roman" w:cs="Times New Roman"/>
                <w:lang w:eastAsia="zh-CN"/>
              </w:rPr>
            </w:pPr>
          </w:p>
          <w:p w14:paraId="4376DD56" w14:textId="77777777" w:rsidR="0001744F" w:rsidRPr="002372C6" w:rsidRDefault="0001744F" w:rsidP="0001744F">
            <w:pPr>
              <w:spacing w:line="276" w:lineRule="auto"/>
              <w:jc w:val="both"/>
              <w:rPr>
                <w:rFonts w:ascii="Times New Roman" w:eastAsia="SimSun" w:hAnsi="Times New Roman" w:cs="Times New Roman"/>
                <w:lang w:eastAsia="zh-CN"/>
              </w:rPr>
            </w:pPr>
          </w:p>
          <w:p w14:paraId="5C27E377" w14:textId="42160063" w:rsidR="0001744F" w:rsidRPr="002372C6" w:rsidRDefault="0001744F" w:rsidP="0001744F">
            <w:pPr>
              <w:jc w:val="both"/>
              <w:rPr>
                <w:rFonts w:ascii="Times New Roman" w:hAnsi="Times New Roman" w:cs="Times New Roman"/>
              </w:rPr>
            </w:pPr>
            <w:r w:rsidRPr="002372C6">
              <w:rPr>
                <w:rFonts w:ascii="Times New Roman" w:eastAsia="SimSun" w:hAnsi="Times New Roman" w:cs="Times New Roman"/>
                <w:lang w:eastAsia="zh-CN"/>
              </w:rPr>
              <w:t>GM to remain vibrant throughout the project implementation</w:t>
            </w:r>
          </w:p>
        </w:tc>
        <w:tc>
          <w:tcPr>
            <w:tcW w:w="1744" w:type="dxa"/>
          </w:tcPr>
          <w:p w14:paraId="014E38F5" w14:textId="6119AF21" w:rsidR="0001744F" w:rsidRPr="002372C6" w:rsidRDefault="0001744F" w:rsidP="0001744F">
            <w:pPr>
              <w:jc w:val="both"/>
              <w:rPr>
                <w:rFonts w:ascii="Times New Roman" w:hAnsi="Times New Roman" w:cs="Times New Roman"/>
              </w:rPr>
            </w:pPr>
            <w:r w:rsidRPr="002372C6">
              <w:rPr>
                <w:rFonts w:ascii="Times New Roman" w:eastAsia="SimSun" w:hAnsi="Times New Roman" w:cs="Times New Roman"/>
                <w:lang w:eastAsia="zh-CN"/>
              </w:rPr>
              <w:lastRenderedPageBreak/>
              <w:t>GBV Consultants and GM focal points</w:t>
            </w:r>
          </w:p>
        </w:tc>
        <w:tc>
          <w:tcPr>
            <w:tcW w:w="1226" w:type="dxa"/>
          </w:tcPr>
          <w:p w14:paraId="30EBB19F" w14:textId="5B7E6A12" w:rsidR="0001744F" w:rsidRPr="002372C6" w:rsidRDefault="00A02B55" w:rsidP="0001744F">
            <w:pPr>
              <w:jc w:val="both"/>
              <w:rPr>
                <w:rFonts w:ascii="Times New Roman" w:hAnsi="Times New Roman" w:cs="Times New Roman"/>
              </w:rPr>
            </w:pPr>
            <w:r w:rsidRPr="002372C6">
              <w:rPr>
                <w:rFonts w:ascii="Times New Roman" w:eastAsia="SimSun" w:hAnsi="Times New Roman" w:cs="Times New Roman"/>
                <w:lang w:eastAsia="zh-CN"/>
              </w:rPr>
              <w:t>PIU coordinator</w:t>
            </w:r>
            <w:r w:rsidR="002372C6" w:rsidRPr="002372C6">
              <w:rPr>
                <w:rFonts w:ascii="Times New Roman" w:eastAsia="SimSun" w:hAnsi="Times New Roman" w:cs="Times New Roman"/>
                <w:lang w:eastAsia="zh-CN"/>
              </w:rPr>
              <w:t xml:space="preserve">, PIU and county </w:t>
            </w:r>
            <w:r w:rsidR="002372C6" w:rsidRPr="002372C6">
              <w:rPr>
                <w:rFonts w:ascii="Times New Roman" w:eastAsia="SimSun" w:hAnsi="Times New Roman" w:cs="Times New Roman"/>
                <w:lang w:eastAsia="zh-CN"/>
              </w:rPr>
              <w:lastRenderedPageBreak/>
              <w:t xml:space="preserve">management </w:t>
            </w:r>
          </w:p>
        </w:tc>
        <w:tc>
          <w:tcPr>
            <w:tcW w:w="1890" w:type="dxa"/>
          </w:tcPr>
          <w:p w14:paraId="5A02F299" w14:textId="77777777" w:rsidR="0001744F" w:rsidRPr="002372C6" w:rsidRDefault="0001744F"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lastRenderedPageBreak/>
              <w:t>GRM features dedicated</w:t>
            </w:r>
          </w:p>
          <w:p w14:paraId="3E21C8CD" w14:textId="77777777" w:rsidR="0001744F" w:rsidRPr="002372C6" w:rsidRDefault="0001744F"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lastRenderedPageBreak/>
              <w:t>operating procedures and response protocols</w:t>
            </w:r>
          </w:p>
          <w:p w14:paraId="3121258F" w14:textId="77777777" w:rsidR="0001744F" w:rsidRPr="002372C6" w:rsidRDefault="0001744F" w:rsidP="0001744F">
            <w:pPr>
              <w:spacing w:line="276" w:lineRule="auto"/>
              <w:rPr>
                <w:rFonts w:ascii="Times New Roman" w:eastAsia="SimSun" w:hAnsi="Times New Roman" w:cs="Times New Roman"/>
                <w:lang w:eastAsia="zh-CN"/>
              </w:rPr>
            </w:pPr>
            <w:r w:rsidRPr="002372C6">
              <w:rPr>
                <w:rFonts w:ascii="Times New Roman" w:eastAsia="SimSun" w:hAnsi="Times New Roman" w:cs="Times New Roman"/>
                <w:lang w:eastAsia="zh-CN"/>
              </w:rPr>
              <w:t>to handle SEA/SH allegations</w:t>
            </w:r>
          </w:p>
          <w:p w14:paraId="5FAAA48E" w14:textId="77777777" w:rsidR="0001744F" w:rsidRPr="002372C6" w:rsidRDefault="0001744F" w:rsidP="0001744F">
            <w:pPr>
              <w:spacing w:line="276" w:lineRule="auto"/>
              <w:rPr>
                <w:rFonts w:ascii="Times New Roman" w:eastAsia="SimSun" w:hAnsi="Times New Roman" w:cs="Times New Roman"/>
                <w:lang w:eastAsia="zh-CN"/>
              </w:rPr>
            </w:pPr>
          </w:p>
          <w:p w14:paraId="3077D1F9" w14:textId="77777777" w:rsidR="0001744F" w:rsidRPr="002372C6" w:rsidRDefault="0001744F" w:rsidP="0001744F">
            <w:pPr>
              <w:spacing w:line="276" w:lineRule="auto"/>
              <w:rPr>
                <w:rFonts w:ascii="Times New Roman" w:eastAsia="SimSun" w:hAnsi="Times New Roman" w:cs="Times New Roman"/>
                <w:lang w:eastAsia="zh-CN"/>
              </w:rPr>
            </w:pPr>
          </w:p>
          <w:p w14:paraId="7FBF16FE" w14:textId="77777777" w:rsidR="0001744F" w:rsidRPr="002372C6" w:rsidRDefault="0001744F"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Number of sessions held with relevant stakeholders (community members, workers, etc.) on existing GRM</w:t>
            </w:r>
          </w:p>
          <w:p w14:paraId="60E210CC" w14:textId="77777777" w:rsidR="0001744F" w:rsidRPr="002372C6" w:rsidRDefault="0001744F" w:rsidP="0001744F">
            <w:pPr>
              <w:spacing w:line="276" w:lineRule="auto"/>
              <w:rPr>
                <w:rFonts w:ascii="Times New Roman" w:eastAsia="SimSun" w:hAnsi="Times New Roman" w:cs="Times New Roman"/>
                <w:lang w:eastAsia="zh-CN"/>
              </w:rPr>
            </w:pPr>
          </w:p>
          <w:p w14:paraId="5BAB4C22" w14:textId="77777777" w:rsidR="0001744F" w:rsidRPr="002372C6" w:rsidRDefault="0001744F"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Periodic GRM report with sustained effective case management/resolution (</w:t>
            </w:r>
            <w:proofErr w:type="gramStart"/>
            <w:r w:rsidRPr="002372C6">
              <w:rPr>
                <w:rFonts w:ascii="Times New Roman" w:eastAsia="SimSun" w:hAnsi="Times New Roman" w:cs="Times New Roman"/>
                <w:lang w:eastAsia="zh-CN"/>
              </w:rPr>
              <w:t>e.g.</w:t>
            </w:r>
            <w:proofErr w:type="gramEnd"/>
            <w:r w:rsidRPr="002372C6">
              <w:rPr>
                <w:rFonts w:ascii="Times New Roman" w:eastAsia="SimSun" w:hAnsi="Times New Roman" w:cs="Times New Roman"/>
                <w:lang w:eastAsia="zh-CN"/>
              </w:rPr>
              <w:t xml:space="preserve"> evidence of survivors receiving support/services)</w:t>
            </w:r>
          </w:p>
          <w:p w14:paraId="55948F04" w14:textId="77777777" w:rsidR="0001744F" w:rsidRPr="002372C6" w:rsidRDefault="0001744F" w:rsidP="0001744F">
            <w:pPr>
              <w:spacing w:line="276" w:lineRule="auto"/>
              <w:rPr>
                <w:rFonts w:ascii="Times New Roman" w:eastAsia="SimSun" w:hAnsi="Times New Roman" w:cs="Times New Roman"/>
                <w:lang w:eastAsia="zh-CN"/>
              </w:rPr>
            </w:pPr>
          </w:p>
          <w:p w14:paraId="3F3F5E0D" w14:textId="77777777" w:rsidR="0001744F" w:rsidRPr="002372C6" w:rsidRDefault="0001744F" w:rsidP="009924D9">
            <w:pPr>
              <w:spacing w:line="276" w:lineRule="auto"/>
              <w:jc w:val="both"/>
              <w:rPr>
                <w:rFonts w:ascii="Times New Roman" w:eastAsia="SimSun" w:hAnsi="Times New Roman" w:cs="Times New Roman"/>
                <w:lang w:eastAsia="zh-CN"/>
              </w:rPr>
            </w:pPr>
            <w:r w:rsidRPr="002372C6">
              <w:rPr>
                <w:rFonts w:ascii="Times New Roman" w:eastAsia="SimSun" w:hAnsi="Times New Roman" w:cs="Times New Roman"/>
                <w:lang w:eastAsia="zh-CN"/>
              </w:rPr>
              <w:t xml:space="preserve">Number of GRM users who know </w:t>
            </w:r>
            <w:r w:rsidRPr="002372C6">
              <w:rPr>
                <w:rFonts w:ascii="Times New Roman" w:eastAsia="SimSun" w:hAnsi="Times New Roman" w:cs="Times New Roman"/>
                <w:lang w:eastAsia="zh-CN"/>
              </w:rPr>
              <w:lastRenderedPageBreak/>
              <w:t>about and are report confidence in using existing GRM</w:t>
            </w:r>
          </w:p>
          <w:p w14:paraId="7D07EB24" w14:textId="77777777" w:rsidR="0001744F" w:rsidRPr="002372C6" w:rsidRDefault="0001744F" w:rsidP="0001744F">
            <w:pPr>
              <w:spacing w:line="276" w:lineRule="auto"/>
              <w:rPr>
                <w:rFonts w:ascii="Times New Roman" w:eastAsia="SimSun" w:hAnsi="Times New Roman" w:cs="Times New Roman"/>
                <w:lang w:eastAsia="zh-CN"/>
              </w:rPr>
            </w:pPr>
          </w:p>
          <w:p w14:paraId="5D09F774" w14:textId="33D4BCCA" w:rsidR="0001744F" w:rsidRPr="002372C6" w:rsidRDefault="0001744F" w:rsidP="0001744F">
            <w:pPr>
              <w:jc w:val="both"/>
              <w:rPr>
                <w:rFonts w:ascii="Times New Roman" w:hAnsi="Times New Roman" w:cs="Times New Roman"/>
              </w:rPr>
            </w:pPr>
            <w:r w:rsidRPr="002372C6">
              <w:rPr>
                <w:rFonts w:ascii="Times New Roman" w:eastAsia="SimSun" w:hAnsi="Times New Roman" w:cs="Times New Roman"/>
                <w:lang w:eastAsia="zh-CN"/>
              </w:rPr>
              <w:t>When victims of sexual harassment can easily reach out to report an attempt of action of violence against them and receive a supportive response immediately.</w:t>
            </w:r>
          </w:p>
        </w:tc>
        <w:tc>
          <w:tcPr>
            <w:tcW w:w="1260" w:type="dxa"/>
          </w:tcPr>
          <w:p w14:paraId="6267088C" w14:textId="035B5CD7" w:rsidR="0001744F" w:rsidRPr="002372C6" w:rsidRDefault="0001744F" w:rsidP="0001744F">
            <w:pPr>
              <w:jc w:val="both"/>
              <w:rPr>
                <w:rFonts w:ascii="Times New Roman" w:hAnsi="Times New Roman" w:cs="Times New Roman"/>
              </w:rPr>
            </w:pPr>
            <w:r w:rsidRPr="002372C6">
              <w:rPr>
                <w:rFonts w:ascii="Times New Roman" w:eastAsia="SimSun" w:hAnsi="Times New Roman" w:cs="Times New Roman"/>
                <w:lang w:eastAsia="zh-CN"/>
              </w:rPr>
              <w:lastRenderedPageBreak/>
              <w:t>Continuous</w:t>
            </w:r>
          </w:p>
        </w:tc>
      </w:tr>
    </w:tbl>
    <w:p w14:paraId="45EC334A" w14:textId="77777777" w:rsidR="006F6486" w:rsidRPr="0000255F" w:rsidRDefault="009F2822" w:rsidP="00B05148">
      <w:pPr>
        <w:spacing w:after="0" w:line="240" w:lineRule="auto"/>
        <w:jc w:val="both"/>
        <w:rPr>
          <w:rFonts w:ascii="Times New Roman" w:hAnsi="Times New Roman" w:cs="Times New Roman"/>
          <w:sz w:val="24"/>
          <w:szCs w:val="24"/>
        </w:rPr>
      </w:pPr>
    </w:p>
    <w:sectPr w:rsidR="006F6486" w:rsidRPr="0000255F" w:rsidSect="00B05148">
      <w:headerReference w:type="default" r:id="rId16"/>
      <w:footerReference w:type="default" r:id="rId17"/>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1CEE" w14:textId="77777777" w:rsidR="008E2A3D" w:rsidRDefault="008E2A3D" w:rsidP="00E40716">
      <w:pPr>
        <w:spacing w:after="0" w:line="240" w:lineRule="auto"/>
      </w:pPr>
      <w:r>
        <w:separator/>
      </w:r>
    </w:p>
  </w:endnote>
  <w:endnote w:type="continuationSeparator" w:id="0">
    <w:p w14:paraId="52FD6BD4" w14:textId="77777777" w:rsidR="008E2A3D" w:rsidRDefault="008E2A3D" w:rsidP="00E4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2AFD" w14:textId="77777777" w:rsidR="00E40716" w:rsidRDefault="00E40716" w:rsidP="00564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390B5F" w14:textId="77777777" w:rsidR="00E40716" w:rsidRDefault="00E40716" w:rsidP="006E7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7189023"/>
      <w:docPartObj>
        <w:docPartGallery w:val="Page Numbers (Bottom of Page)"/>
        <w:docPartUnique/>
      </w:docPartObj>
    </w:sdtPr>
    <w:sdtEndPr>
      <w:rPr>
        <w:rStyle w:val="PageNumber"/>
      </w:rPr>
    </w:sdtEndPr>
    <w:sdtContent>
      <w:p w14:paraId="06E4433B" w14:textId="59261003" w:rsidR="00564703" w:rsidRDefault="00564703" w:rsidP="00640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7263D78E" w14:textId="77777777" w:rsidR="00E40716" w:rsidRDefault="00E40716" w:rsidP="006E74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5CAB" w14:textId="77777777" w:rsidR="005C7561" w:rsidRDefault="005C7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748467390"/>
      <w:docPartObj>
        <w:docPartGallery w:val="Page Numbers (Bottom of Page)"/>
        <w:docPartUnique/>
      </w:docPartObj>
    </w:sdtPr>
    <w:sdtEndPr>
      <w:rPr>
        <w:rStyle w:val="PageNumber"/>
      </w:rPr>
    </w:sdtEndPr>
    <w:sdtContent>
      <w:p w14:paraId="22F0E943" w14:textId="77777777" w:rsidR="00E40716" w:rsidRPr="00F60A76" w:rsidRDefault="00E40716" w:rsidP="006E740F">
        <w:pPr>
          <w:pStyle w:val="Footer"/>
          <w:framePr w:wrap="none" w:vAnchor="text" w:hAnchor="margin" w:xAlign="right" w:y="1"/>
          <w:rPr>
            <w:rStyle w:val="PageNumber"/>
            <w:rFonts w:ascii="Times New Roman" w:hAnsi="Times New Roman" w:cs="Times New Roman"/>
            <w:sz w:val="24"/>
            <w:szCs w:val="24"/>
          </w:rPr>
        </w:pPr>
        <w:r w:rsidRPr="00F60A76">
          <w:rPr>
            <w:rStyle w:val="PageNumber"/>
            <w:rFonts w:ascii="Times New Roman" w:hAnsi="Times New Roman" w:cs="Times New Roman"/>
            <w:sz w:val="24"/>
            <w:szCs w:val="24"/>
          </w:rPr>
          <w:fldChar w:fldCharType="begin"/>
        </w:r>
        <w:r w:rsidRPr="00F60A76">
          <w:rPr>
            <w:rStyle w:val="PageNumber"/>
            <w:rFonts w:ascii="Times New Roman" w:hAnsi="Times New Roman" w:cs="Times New Roman"/>
            <w:sz w:val="24"/>
            <w:szCs w:val="24"/>
          </w:rPr>
          <w:instrText xml:space="preserve"> PAGE </w:instrText>
        </w:r>
        <w:r w:rsidRPr="00F60A76">
          <w:rPr>
            <w:rStyle w:val="PageNumber"/>
            <w:rFonts w:ascii="Times New Roman" w:hAnsi="Times New Roman" w:cs="Times New Roman"/>
            <w:sz w:val="24"/>
            <w:szCs w:val="24"/>
          </w:rPr>
          <w:fldChar w:fldCharType="separate"/>
        </w:r>
        <w:r w:rsidRPr="00F60A76">
          <w:rPr>
            <w:rStyle w:val="PageNumber"/>
            <w:rFonts w:ascii="Times New Roman" w:hAnsi="Times New Roman" w:cs="Times New Roman"/>
            <w:noProof/>
            <w:sz w:val="24"/>
            <w:szCs w:val="24"/>
          </w:rPr>
          <w:t>114</w:t>
        </w:r>
        <w:r w:rsidRPr="00F60A76">
          <w:rPr>
            <w:rStyle w:val="PageNumber"/>
            <w:rFonts w:ascii="Times New Roman" w:hAnsi="Times New Roman" w:cs="Times New Roman"/>
            <w:sz w:val="24"/>
            <w:szCs w:val="24"/>
          </w:rPr>
          <w:fldChar w:fldCharType="end"/>
        </w:r>
      </w:p>
    </w:sdtContent>
  </w:sdt>
  <w:p w14:paraId="0F3186DC" w14:textId="77777777" w:rsidR="00E40716" w:rsidRPr="00F60A76" w:rsidRDefault="00E40716" w:rsidP="006E740F">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5438" w14:textId="77777777" w:rsidR="008E2A3D" w:rsidRDefault="008E2A3D" w:rsidP="00E40716">
      <w:pPr>
        <w:spacing w:after="0" w:line="240" w:lineRule="auto"/>
      </w:pPr>
      <w:r>
        <w:separator/>
      </w:r>
    </w:p>
  </w:footnote>
  <w:footnote w:type="continuationSeparator" w:id="0">
    <w:p w14:paraId="266894D3" w14:textId="77777777" w:rsidR="008E2A3D" w:rsidRDefault="008E2A3D" w:rsidP="00E40716">
      <w:pPr>
        <w:spacing w:after="0" w:line="240" w:lineRule="auto"/>
      </w:pPr>
      <w:r>
        <w:continuationSeparator/>
      </w:r>
    </w:p>
  </w:footnote>
  <w:footnote w:id="1">
    <w:p w14:paraId="72A99154" w14:textId="4B09648D" w:rsidR="00981600" w:rsidRPr="00981600" w:rsidRDefault="00981600" w:rsidP="00981600">
      <w:pPr>
        <w:rPr>
          <w:rFonts w:asciiTheme="minorHAnsi" w:hAnsiTheme="minorHAnsi" w:cstheme="minorHAnsi"/>
          <w:sz w:val="16"/>
          <w:szCs w:val="16"/>
        </w:rPr>
      </w:pPr>
      <w:r w:rsidRPr="00981600">
        <w:rPr>
          <w:rStyle w:val="FootnoteReference"/>
          <w:sz w:val="16"/>
          <w:szCs w:val="16"/>
        </w:rPr>
        <w:footnoteRef/>
      </w:r>
      <w:r w:rsidRPr="00981600">
        <w:rPr>
          <w:sz w:val="16"/>
          <w:szCs w:val="16"/>
        </w:rPr>
        <w:t xml:space="preserve"> </w:t>
      </w:r>
      <w:r w:rsidRPr="00981600">
        <w:rPr>
          <w:rFonts w:asciiTheme="minorHAnsi" w:hAnsiTheme="minorHAnsi" w:cstheme="minorHAnsi"/>
          <w:sz w:val="16"/>
          <w:szCs w:val="16"/>
        </w:rPr>
        <w:t>Gender-Based Violence Action Plan</w:t>
      </w:r>
      <w:r w:rsidR="00B86A83">
        <w:rPr>
          <w:rFonts w:asciiTheme="minorHAnsi" w:hAnsiTheme="minorHAnsi" w:cstheme="minorHAnsi"/>
          <w:sz w:val="16"/>
          <w:szCs w:val="16"/>
        </w:rPr>
        <w:t xml:space="preserve"> is replaced with the new name of </w:t>
      </w:r>
      <w:r w:rsidR="00B86A83" w:rsidRPr="00B86A83">
        <w:rPr>
          <w:rFonts w:asciiTheme="minorHAnsi" w:hAnsiTheme="minorHAnsi" w:cstheme="minorHAnsi"/>
          <w:sz w:val="16"/>
          <w:szCs w:val="16"/>
        </w:rPr>
        <w:t>SEA/SH Prevention and Response Action Plan</w:t>
      </w:r>
      <w:r w:rsidR="000256AA">
        <w:rPr>
          <w:rFonts w:asciiTheme="minorHAnsi" w:hAnsiTheme="minorHAnsi" w:cstheme="minorHAnsi"/>
          <w:sz w:val="16"/>
          <w:szCs w:val="16"/>
        </w:rPr>
        <w:t xml:space="preserve"> under the 2022 </w:t>
      </w:r>
    </w:p>
    <w:p w14:paraId="191D4D05" w14:textId="6E394B6F" w:rsidR="00981600" w:rsidRDefault="00981600">
      <w:pPr>
        <w:pStyle w:val="FootnoteText"/>
      </w:pPr>
    </w:p>
  </w:footnote>
  <w:footnote w:id="2">
    <w:p w14:paraId="2CC1A13B" w14:textId="77777777" w:rsidR="00E40716" w:rsidRDefault="00E40716" w:rsidP="00E40716">
      <w:pPr>
        <w:pStyle w:val="FootnoteText"/>
      </w:pPr>
      <w:r>
        <w:rPr>
          <w:rStyle w:val="FootnoteReference"/>
        </w:rPr>
        <w:footnoteRef/>
      </w:r>
      <w:r>
        <w:t xml:space="preserve"> 2014 Kenya Demographic and Health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507A" w14:textId="77777777" w:rsidR="005C7561" w:rsidRDefault="005C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5FB3" w14:textId="7EF90E45" w:rsidR="00E04AE7" w:rsidRDefault="00E04AE7">
    <w:pPr>
      <w:pStyle w:val="Header"/>
    </w:pPr>
    <w:r w:rsidRPr="00806706">
      <w:rPr>
        <w:rFonts w:ascii="Trebuchet MS" w:eastAsia="Times New Roman" w:hAnsi="Trebuchet MS" w:cs="Times New Roman"/>
        <w:noProof/>
        <w:sz w:val="24"/>
        <w:szCs w:val="24"/>
        <w:lang w:eastAsia="en-GB"/>
      </w:rPr>
      <w:drawing>
        <wp:inline distT="0" distB="0" distL="0" distR="0" wp14:anchorId="2592C740" wp14:editId="0AF2AFCE">
          <wp:extent cx="685800" cy="628650"/>
          <wp:effectExtent l="0" t="0" r="0" b="0"/>
          <wp:docPr id="6" name="Picture 6"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6B47FD">
      <w:rPr>
        <w:rFonts w:ascii="Times New Roman" w:eastAsia="Times New Roman" w:hAnsi="Times New Roman" w:cs="Times New Roman"/>
        <w:noProof/>
        <w:sz w:val="24"/>
        <w:szCs w:val="24"/>
        <w:lang w:eastAsia="en-GB"/>
      </w:rPr>
      <w:drawing>
        <wp:inline distT="0" distB="0" distL="0" distR="0" wp14:anchorId="1B4F253D" wp14:editId="46545FDD">
          <wp:extent cx="793750" cy="476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3762" w14:textId="77777777" w:rsidR="005C7561" w:rsidRDefault="005C7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213E" w14:textId="5E4F4329" w:rsidR="00E04AE7" w:rsidRDefault="00E04AE7" w:rsidP="00E04AE7">
    <w:pPr>
      <w:pStyle w:val="Header"/>
    </w:pPr>
    <w:r w:rsidRPr="00806706">
      <w:rPr>
        <w:rFonts w:ascii="Trebuchet MS" w:eastAsia="Times New Roman" w:hAnsi="Trebuchet MS" w:cs="Times New Roman"/>
        <w:noProof/>
        <w:sz w:val="24"/>
        <w:szCs w:val="24"/>
        <w:lang w:eastAsia="en-GB"/>
      </w:rPr>
      <w:drawing>
        <wp:inline distT="0" distB="0" distL="0" distR="0" wp14:anchorId="18BA0544" wp14:editId="3368CEF5">
          <wp:extent cx="685800" cy="628650"/>
          <wp:effectExtent l="0" t="0" r="0" b="0"/>
          <wp:docPr id="1" name="Picture 1"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6B47FD">
      <w:rPr>
        <w:rFonts w:ascii="Times New Roman" w:eastAsia="Times New Roman" w:hAnsi="Times New Roman" w:cs="Times New Roman"/>
        <w:noProof/>
        <w:sz w:val="24"/>
        <w:szCs w:val="24"/>
        <w:lang w:eastAsia="en-GB"/>
      </w:rPr>
      <w:drawing>
        <wp:inline distT="0" distB="0" distL="0" distR="0" wp14:anchorId="56D84AE5" wp14:editId="42BE0E61">
          <wp:extent cx="793750" cy="476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476250"/>
                  </a:xfrm>
                  <a:prstGeom prst="rect">
                    <a:avLst/>
                  </a:prstGeom>
                  <a:noFill/>
                  <a:ln>
                    <a:noFill/>
                  </a:ln>
                </pic:spPr>
              </pic:pic>
            </a:graphicData>
          </a:graphic>
        </wp:inline>
      </w:drawing>
    </w:r>
  </w:p>
  <w:p w14:paraId="3ED97410" w14:textId="77777777" w:rsidR="00E40716" w:rsidRDefault="00E40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6B68079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E"/>
    <w:multiLevelType w:val="hybridMultilevel"/>
    <w:tmpl w:val="4E6AFB66"/>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2"/>
    <w:multiLevelType w:val="hybridMultilevel"/>
    <w:tmpl w:val="3F2DBA3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492CFF"/>
    <w:multiLevelType w:val="hybridMultilevel"/>
    <w:tmpl w:val="789C62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1CD533C"/>
    <w:multiLevelType w:val="hybridMultilevel"/>
    <w:tmpl w:val="CAB07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36B61"/>
    <w:multiLevelType w:val="hybridMultilevel"/>
    <w:tmpl w:val="789C6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826B52"/>
    <w:multiLevelType w:val="hybridMultilevel"/>
    <w:tmpl w:val="0268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A24F3"/>
    <w:multiLevelType w:val="hybridMultilevel"/>
    <w:tmpl w:val="74846C9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13354"/>
    <w:multiLevelType w:val="hybridMultilevel"/>
    <w:tmpl w:val="C3A890A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975D4A"/>
    <w:multiLevelType w:val="hybridMultilevel"/>
    <w:tmpl w:val="59103078"/>
    <w:lvl w:ilvl="0" w:tplc="68A28BE0">
      <w:start w:val="1"/>
      <w:numFmt w:val="bullet"/>
      <w:pStyle w:val="bullet1"/>
      <w:lvlText w:val=""/>
      <w:lvlJc w:val="left"/>
      <w:pPr>
        <w:tabs>
          <w:tab w:val="num" w:pos="360"/>
        </w:tabs>
        <w:ind w:left="360" w:hanging="360"/>
      </w:pPr>
      <w:rPr>
        <w:rFonts w:ascii="Symbol" w:hAnsi="Symbol" w:hint="default"/>
      </w:rPr>
    </w:lvl>
    <w:lvl w:ilvl="1" w:tplc="EA6278E6">
      <w:start w:val="1"/>
      <w:numFmt w:val="bullet"/>
      <w:lvlText w:val="o"/>
      <w:lvlJc w:val="left"/>
      <w:pPr>
        <w:tabs>
          <w:tab w:val="num" w:pos="1080"/>
        </w:tabs>
        <w:ind w:left="1080" w:hanging="360"/>
      </w:pPr>
      <w:rPr>
        <w:rFonts w:ascii="Courier New" w:hAnsi="Courier New" w:hint="default"/>
      </w:rPr>
    </w:lvl>
    <w:lvl w:ilvl="2" w:tplc="2D8801C6">
      <w:start w:val="1"/>
      <w:numFmt w:val="bullet"/>
      <w:lvlText w:val="-"/>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537729"/>
    <w:multiLevelType w:val="hybridMultilevel"/>
    <w:tmpl w:val="672EBEA4"/>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0B4650"/>
    <w:multiLevelType w:val="hybridMultilevel"/>
    <w:tmpl w:val="4CC47B92"/>
    <w:lvl w:ilvl="0" w:tplc="17A6A87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3F562A"/>
    <w:multiLevelType w:val="hybridMultilevel"/>
    <w:tmpl w:val="B6D48E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BA6717A"/>
    <w:multiLevelType w:val="hybridMultilevel"/>
    <w:tmpl w:val="4C388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ED7EE7"/>
    <w:multiLevelType w:val="hybridMultilevel"/>
    <w:tmpl w:val="64E89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2FB4"/>
    <w:multiLevelType w:val="hybridMultilevel"/>
    <w:tmpl w:val="B6D48E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7781E"/>
    <w:multiLevelType w:val="hybridMultilevel"/>
    <w:tmpl w:val="BBBEFECE"/>
    <w:lvl w:ilvl="0" w:tplc="8CA2C4D0">
      <w:start w:val="1"/>
      <w:numFmt w:val="lowerLetter"/>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A45F51"/>
    <w:multiLevelType w:val="hybridMultilevel"/>
    <w:tmpl w:val="B6D48E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2654F4A"/>
    <w:multiLevelType w:val="hybridMultilevel"/>
    <w:tmpl w:val="42BEE046"/>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A91329"/>
    <w:multiLevelType w:val="hybridMultilevel"/>
    <w:tmpl w:val="A01CE7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835DD9"/>
    <w:multiLevelType w:val="multilevel"/>
    <w:tmpl w:val="0DFE07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8AD349D"/>
    <w:multiLevelType w:val="hybridMultilevel"/>
    <w:tmpl w:val="3F2DBA3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5ADF5827"/>
    <w:multiLevelType w:val="multilevel"/>
    <w:tmpl w:val="F6221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661F48"/>
    <w:multiLevelType w:val="hybridMultilevel"/>
    <w:tmpl w:val="AC70F856"/>
    <w:lvl w:ilvl="0" w:tplc="04090017">
      <w:start w:val="1"/>
      <w:numFmt w:val="lowerLetter"/>
      <w:lvlText w:val="%1)"/>
      <w:lvlJc w:val="left"/>
      <w:pPr>
        <w:ind w:left="765" w:hanging="72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03663E"/>
    <w:multiLevelType w:val="hybridMultilevel"/>
    <w:tmpl w:val="64E89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23760"/>
    <w:multiLevelType w:val="hybridMultilevel"/>
    <w:tmpl w:val="3D6E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405F1"/>
    <w:multiLevelType w:val="hybridMultilevel"/>
    <w:tmpl w:val="15F6C3A2"/>
    <w:lvl w:ilvl="0" w:tplc="C89EDE76">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0E13F5"/>
    <w:multiLevelType w:val="hybridMultilevel"/>
    <w:tmpl w:val="9EA8FF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9AA7064"/>
    <w:multiLevelType w:val="hybridMultilevel"/>
    <w:tmpl w:val="FBCC7038"/>
    <w:lvl w:ilvl="0" w:tplc="511CFCF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B0303"/>
    <w:multiLevelType w:val="hybridMultilevel"/>
    <w:tmpl w:val="4EC077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9749C3"/>
    <w:multiLevelType w:val="hybridMultilevel"/>
    <w:tmpl w:val="01C8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4C54ED"/>
    <w:multiLevelType w:val="hybridMultilevel"/>
    <w:tmpl w:val="B6D48E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2E05C78"/>
    <w:multiLevelType w:val="hybridMultilevel"/>
    <w:tmpl w:val="44748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D66AD"/>
    <w:multiLevelType w:val="hybridMultilevel"/>
    <w:tmpl w:val="78A035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A136F1"/>
    <w:multiLevelType w:val="hybridMultilevel"/>
    <w:tmpl w:val="FAD2EA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4529393">
    <w:abstractNumId w:val="20"/>
  </w:num>
  <w:num w:numId="2" w16cid:durableId="1347290244">
    <w:abstractNumId w:val="11"/>
  </w:num>
  <w:num w:numId="3" w16cid:durableId="509300978">
    <w:abstractNumId w:val="13"/>
  </w:num>
  <w:num w:numId="4" w16cid:durableId="661543326">
    <w:abstractNumId w:val="19"/>
  </w:num>
  <w:num w:numId="5" w16cid:durableId="623535239">
    <w:abstractNumId w:val="29"/>
  </w:num>
  <w:num w:numId="6" w16cid:durableId="1055617894">
    <w:abstractNumId w:val="28"/>
  </w:num>
  <w:num w:numId="7" w16cid:durableId="1859929069">
    <w:abstractNumId w:val="32"/>
  </w:num>
  <w:num w:numId="8" w16cid:durableId="801574622">
    <w:abstractNumId w:val="14"/>
  </w:num>
  <w:num w:numId="9" w16cid:durableId="364984661">
    <w:abstractNumId w:val="24"/>
  </w:num>
  <w:num w:numId="10" w16cid:durableId="623002619">
    <w:abstractNumId w:val="33"/>
  </w:num>
  <w:num w:numId="11" w16cid:durableId="650446719">
    <w:abstractNumId w:val="34"/>
  </w:num>
  <w:num w:numId="12" w16cid:durableId="755444225">
    <w:abstractNumId w:val="26"/>
  </w:num>
  <w:num w:numId="13" w16cid:durableId="1935432811">
    <w:abstractNumId w:val="9"/>
  </w:num>
  <w:num w:numId="14" w16cid:durableId="995382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0821435">
    <w:abstractNumId w:val="0"/>
    <w:lvlOverride w:ilvl="0">
      <w:startOverride w:val="1"/>
    </w:lvlOverride>
    <w:lvlOverride w:ilvl="1"/>
    <w:lvlOverride w:ilvl="2"/>
    <w:lvlOverride w:ilvl="3"/>
    <w:lvlOverride w:ilvl="4"/>
    <w:lvlOverride w:ilvl="5"/>
    <w:lvlOverride w:ilvl="6"/>
    <w:lvlOverride w:ilvl="7"/>
    <w:lvlOverride w:ilvl="8"/>
  </w:num>
  <w:num w:numId="16" w16cid:durableId="1684823510">
    <w:abstractNumId w:val="1"/>
    <w:lvlOverride w:ilvl="0">
      <w:startOverride w:val="1"/>
    </w:lvlOverride>
    <w:lvlOverride w:ilvl="1"/>
    <w:lvlOverride w:ilvl="2"/>
    <w:lvlOverride w:ilvl="3"/>
    <w:lvlOverride w:ilvl="4"/>
    <w:lvlOverride w:ilvl="5"/>
    <w:lvlOverride w:ilvl="6"/>
    <w:lvlOverride w:ilvl="7"/>
    <w:lvlOverride w:ilvl="8"/>
  </w:num>
  <w:num w:numId="17" w16cid:durableId="1231840811">
    <w:abstractNumId w:val="2"/>
    <w:lvlOverride w:ilvl="0">
      <w:startOverride w:val="1"/>
    </w:lvlOverride>
    <w:lvlOverride w:ilvl="1"/>
    <w:lvlOverride w:ilvl="2"/>
    <w:lvlOverride w:ilvl="3"/>
    <w:lvlOverride w:ilvl="4"/>
    <w:lvlOverride w:ilvl="5"/>
    <w:lvlOverride w:ilvl="6"/>
    <w:lvlOverride w:ilvl="7"/>
    <w:lvlOverride w:ilvl="8"/>
  </w:num>
  <w:num w:numId="18" w16cid:durableId="2012678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6956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6368709">
    <w:abstractNumId w:val="3"/>
  </w:num>
  <w:num w:numId="21" w16cid:durableId="1293170982">
    <w:abstractNumId w:val="6"/>
  </w:num>
  <w:num w:numId="22" w16cid:durableId="2095854274">
    <w:abstractNumId w:val="30"/>
  </w:num>
  <w:num w:numId="23" w16cid:durableId="726222666">
    <w:abstractNumId w:val="15"/>
  </w:num>
  <w:num w:numId="24" w16cid:durableId="401177664">
    <w:abstractNumId w:val="4"/>
  </w:num>
  <w:num w:numId="25" w16cid:durableId="1137643724">
    <w:abstractNumId w:val="12"/>
  </w:num>
  <w:num w:numId="26" w16cid:durableId="1706639743">
    <w:abstractNumId w:val="17"/>
  </w:num>
  <w:num w:numId="27" w16cid:durableId="479421268">
    <w:abstractNumId w:val="21"/>
  </w:num>
  <w:num w:numId="28" w16cid:durableId="468865037">
    <w:abstractNumId w:val="22"/>
  </w:num>
  <w:num w:numId="29" w16cid:durableId="1056590764">
    <w:abstractNumId w:val="31"/>
  </w:num>
  <w:num w:numId="30" w16cid:durableId="91055247">
    <w:abstractNumId w:val="7"/>
  </w:num>
  <w:num w:numId="31" w16cid:durableId="435177932">
    <w:abstractNumId w:val="18"/>
  </w:num>
  <w:num w:numId="32" w16cid:durableId="1746339711">
    <w:abstractNumId w:val="8"/>
  </w:num>
  <w:num w:numId="33" w16cid:durableId="1349452407">
    <w:abstractNumId w:val="10"/>
  </w:num>
  <w:num w:numId="34" w16cid:durableId="1223130387">
    <w:abstractNumId w:val="27"/>
  </w:num>
  <w:num w:numId="35" w16cid:durableId="1682656076">
    <w:abstractNumId w:val="20"/>
  </w:num>
  <w:num w:numId="36" w16cid:durableId="166754242">
    <w:abstractNumId w:val="20"/>
  </w:num>
  <w:num w:numId="37" w16cid:durableId="11953457">
    <w:abstractNumId w:val="20"/>
  </w:num>
  <w:num w:numId="38" w16cid:durableId="682779959">
    <w:abstractNumId w:val="5"/>
  </w:num>
  <w:num w:numId="39" w16cid:durableId="17352802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jA3M7EwszSyMDVU0lEKTi0uzszPAykwNKwFAMtQ30otAAAA"/>
  </w:docVars>
  <w:rsids>
    <w:rsidRoot w:val="00E40716"/>
    <w:rsid w:val="00001931"/>
    <w:rsid w:val="0000255F"/>
    <w:rsid w:val="00003836"/>
    <w:rsid w:val="0000416C"/>
    <w:rsid w:val="00006B1C"/>
    <w:rsid w:val="000140B2"/>
    <w:rsid w:val="00016745"/>
    <w:rsid w:val="00016EEC"/>
    <w:rsid w:val="0001744F"/>
    <w:rsid w:val="00024143"/>
    <w:rsid w:val="0002496A"/>
    <w:rsid w:val="000256AA"/>
    <w:rsid w:val="0002626C"/>
    <w:rsid w:val="00027A3E"/>
    <w:rsid w:val="000369CC"/>
    <w:rsid w:val="000376EB"/>
    <w:rsid w:val="000419E9"/>
    <w:rsid w:val="00044A18"/>
    <w:rsid w:val="00051947"/>
    <w:rsid w:val="00060A2A"/>
    <w:rsid w:val="00060D93"/>
    <w:rsid w:val="00062D7F"/>
    <w:rsid w:val="00064134"/>
    <w:rsid w:val="00073BDD"/>
    <w:rsid w:val="00074FFF"/>
    <w:rsid w:val="00090752"/>
    <w:rsid w:val="0009284F"/>
    <w:rsid w:val="000A0535"/>
    <w:rsid w:val="000A2211"/>
    <w:rsid w:val="000B01F0"/>
    <w:rsid w:val="000B06B4"/>
    <w:rsid w:val="000B4750"/>
    <w:rsid w:val="000B5391"/>
    <w:rsid w:val="000B7737"/>
    <w:rsid w:val="000C76AE"/>
    <w:rsid w:val="000D081F"/>
    <w:rsid w:val="000D10E1"/>
    <w:rsid w:val="000E0A8C"/>
    <w:rsid w:val="000E1D9C"/>
    <w:rsid w:val="000E3287"/>
    <w:rsid w:val="000F1C24"/>
    <w:rsid w:val="00102EA8"/>
    <w:rsid w:val="0011361B"/>
    <w:rsid w:val="00115021"/>
    <w:rsid w:val="00124404"/>
    <w:rsid w:val="00126625"/>
    <w:rsid w:val="00137A1C"/>
    <w:rsid w:val="001405E5"/>
    <w:rsid w:val="001409BF"/>
    <w:rsid w:val="00143680"/>
    <w:rsid w:val="0015072D"/>
    <w:rsid w:val="001609C5"/>
    <w:rsid w:val="001648D1"/>
    <w:rsid w:val="001754E8"/>
    <w:rsid w:val="00175CBA"/>
    <w:rsid w:val="00183164"/>
    <w:rsid w:val="00183651"/>
    <w:rsid w:val="00186AB5"/>
    <w:rsid w:val="00186F29"/>
    <w:rsid w:val="00191FD4"/>
    <w:rsid w:val="00192571"/>
    <w:rsid w:val="001972A6"/>
    <w:rsid w:val="001A4F30"/>
    <w:rsid w:val="001B72AD"/>
    <w:rsid w:val="001C6BE8"/>
    <w:rsid w:val="001D78B7"/>
    <w:rsid w:val="001E13D0"/>
    <w:rsid w:val="001E536B"/>
    <w:rsid w:val="001E56F8"/>
    <w:rsid w:val="001E60E5"/>
    <w:rsid w:val="001F2774"/>
    <w:rsid w:val="001F7B0B"/>
    <w:rsid w:val="00200BCF"/>
    <w:rsid w:val="002019AD"/>
    <w:rsid w:val="0020229E"/>
    <w:rsid w:val="00203F3A"/>
    <w:rsid w:val="0021619A"/>
    <w:rsid w:val="002163CC"/>
    <w:rsid w:val="00236BC1"/>
    <w:rsid w:val="002372C6"/>
    <w:rsid w:val="00241D24"/>
    <w:rsid w:val="00242250"/>
    <w:rsid w:val="002425DF"/>
    <w:rsid w:val="00252A63"/>
    <w:rsid w:val="00260D4D"/>
    <w:rsid w:val="00260DE9"/>
    <w:rsid w:val="0026379C"/>
    <w:rsid w:val="00277BFF"/>
    <w:rsid w:val="002801D2"/>
    <w:rsid w:val="002806E7"/>
    <w:rsid w:val="00282D25"/>
    <w:rsid w:val="00282DF9"/>
    <w:rsid w:val="0029061D"/>
    <w:rsid w:val="002A4170"/>
    <w:rsid w:val="002A5465"/>
    <w:rsid w:val="002B585F"/>
    <w:rsid w:val="002B6389"/>
    <w:rsid w:val="002B6B92"/>
    <w:rsid w:val="002B780C"/>
    <w:rsid w:val="002C5055"/>
    <w:rsid w:val="002D0097"/>
    <w:rsid w:val="002E1C19"/>
    <w:rsid w:val="002E4D0D"/>
    <w:rsid w:val="00306B0C"/>
    <w:rsid w:val="0031454D"/>
    <w:rsid w:val="003329A0"/>
    <w:rsid w:val="003336C1"/>
    <w:rsid w:val="00333B76"/>
    <w:rsid w:val="0033558A"/>
    <w:rsid w:val="00335935"/>
    <w:rsid w:val="00346A6C"/>
    <w:rsid w:val="00350AD3"/>
    <w:rsid w:val="003519C0"/>
    <w:rsid w:val="00355BA2"/>
    <w:rsid w:val="003574ED"/>
    <w:rsid w:val="00357700"/>
    <w:rsid w:val="00357B54"/>
    <w:rsid w:val="00357CF0"/>
    <w:rsid w:val="00366570"/>
    <w:rsid w:val="003672FC"/>
    <w:rsid w:val="00370250"/>
    <w:rsid w:val="0037051F"/>
    <w:rsid w:val="003710FC"/>
    <w:rsid w:val="00396446"/>
    <w:rsid w:val="003A06CE"/>
    <w:rsid w:val="003A30A9"/>
    <w:rsid w:val="003A42D0"/>
    <w:rsid w:val="003A6D14"/>
    <w:rsid w:val="003C5335"/>
    <w:rsid w:val="003C6738"/>
    <w:rsid w:val="003D0132"/>
    <w:rsid w:val="003D5861"/>
    <w:rsid w:val="003E4EBD"/>
    <w:rsid w:val="00400D0B"/>
    <w:rsid w:val="00407A60"/>
    <w:rsid w:val="00413200"/>
    <w:rsid w:val="004158BD"/>
    <w:rsid w:val="004208F7"/>
    <w:rsid w:val="004218F1"/>
    <w:rsid w:val="004225D0"/>
    <w:rsid w:val="004246C8"/>
    <w:rsid w:val="004326C1"/>
    <w:rsid w:val="00434856"/>
    <w:rsid w:val="004477BD"/>
    <w:rsid w:val="00447B22"/>
    <w:rsid w:val="00463CF4"/>
    <w:rsid w:val="00464A43"/>
    <w:rsid w:val="00464C12"/>
    <w:rsid w:val="00465B85"/>
    <w:rsid w:val="00466D17"/>
    <w:rsid w:val="0047568C"/>
    <w:rsid w:val="00481EE7"/>
    <w:rsid w:val="004839EF"/>
    <w:rsid w:val="00486F20"/>
    <w:rsid w:val="004A7073"/>
    <w:rsid w:val="004B1F0E"/>
    <w:rsid w:val="004B1FD5"/>
    <w:rsid w:val="004C4706"/>
    <w:rsid w:val="004D2F60"/>
    <w:rsid w:val="004D7A21"/>
    <w:rsid w:val="004E141F"/>
    <w:rsid w:val="004E3DFD"/>
    <w:rsid w:val="005009F5"/>
    <w:rsid w:val="00503FDA"/>
    <w:rsid w:val="00521C3C"/>
    <w:rsid w:val="00524CF2"/>
    <w:rsid w:val="0053761E"/>
    <w:rsid w:val="00557340"/>
    <w:rsid w:val="00562F0B"/>
    <w:rsid w:val="00564703"/>
    <w:rsid w:val="00577A96"/>
    <w:rsid w:val="00581E42"/>
    <w:rsid w:val="00582DDD"/>
    <w:rsid w:val="005859B0"/>
    <w:rsid w:val="005A03AD"/>
    <w:rsid w:val="005A3E05"/>
    <w:rsid w:val="005A4A70"/>
    <w:rsid w:val="005B1435"/>
    <w:rsid w:val="005B27D8"/>
    <w:rsid w:val="005C7561"/>
    <w:rsid w:val="005D30E0"/>
    <w:rsid w:val="005D345D"/>
    <w:rsid w:val="005D5B97"/>
    <w:rsid w:val="005E1994"/>
    <w:rsid w:val="005E52E1"/>
    <w:rsid w:val="005E5A83"/>
    <w:rsid w:val="005E69AC"/>
    <w:rsid w:val="005E7AAE"/>
    <w:rsid w:val="005F2D1D"/>
    <w:rsid w:val="005F7736"/>
    <w:rsid w:val="00601090"/>
    <w:rsid w:val="00602E74"/>
    <w:rsid w:val="00606246"/>
    <w:rsid w:val="00607B3D"/>
    <w:rsid w:val="00614821"/>
    <w:rsid w:val="006155C9"/>
    <w:rsid w:val="006224CF"/>
    <w:rsid w:val="00622A97"/>
    <w:rsid w:val="0064187E"/>
    <w:rsid w:val="0064483F"/>
    <w:rsid w:val="00656838"/>
    <w:rsid w:val="00656A58"/>
    <w:rsid w:val="00662ABE"/>
    <w:rsid w:val="00663B5F"/>
    <w:rsid w:val="0066460F"/>
    <w:rsid w:val="00665E80"/>
    <w:rsid w:val="00670C5E"/>
    <w:rsid w:val="00672A7B"/>
    <w:rsid w:val="00674D93"/>
    <w:rsid w:val="00677B1D"/>
    <w:rsid w:val="00684281"/>
    <w:rsid w:val="006861BC"/>
    <w:rsid w:val="00694AF5"/>
    <w:rsid w:val="006B1069"/>
    <w:rsid w:val="006B4B9A"/>
    <w:rsid w:val="006C7D15"/>
    <w:rsid w:val="006D12C4"/>
    <w:rsid w:val="006D2303"/>
    <w:rsid w:val="006E50C5"/>
    <w:rsid w:val="006E5FC7"/>
    <w:rsid w:val="006F07AC"/>
    <w:rsid w:val="007017E6"/>
    <w:rsid w:val="00705E30"/>
    <w:rsid w:val="0071021F"/>
    <w:rsid w:val="00712D6C"/>
    <w:rsid w:val="00713F59"/>
    <w:rsid w:val="0071484C"/>
    <w:rsid w:val="007161D1"/>
    <w:rsid w:val="0072334B"/>
    <w:rsid w:val="00727DF5"/>
    <w:rsid w:val="00733184"/>
    <w:rsid w:val="007349C8"/>
    <w:rsid w:val="007449DF"/>
    <w:rsid w:val="00751AE6"/>
    <w:rsid w:val="00753080"/>
    <w:rsid w:val="00753CD2"/>
    <w:rsid w:val="00756D82"/>
    <w:rsid w:val="00762F88"/>
    <w:rsid w:val="007728B7"/>
    <w:rsid w:val="00774F9C"/>
    <w:rsid w:val="00780C56"/>
    <w:rsid w:val="00785AF0"/>
    <w:rsid w:val="00790646"/>
    <w:rsid w:val="00795DF2"/>
    <w:rsid w:val="007975AE"/>
    <w:rsid w:val="007B6C88"/>
    <w:rsid w:val="007C5698"/>
    <w:rsid w:val="007C6441"/>
    <w:rsid w:val="007C6F1D"/>
    <w:rsid w:val="007D4ABE"/>
    <w:rsid w:val="007D67E1"/>
    <w:rsid w:val="007E22B4"/>
    <w:rsid w:val="007E3771"/>
    <w:rsid w:val="007E779B"/>
    <w:rsid w:val="007F0EEB"/>
    <w:rsid w:val="007F1F07"/>
    <w:rsid w:val="007F32E5"/>
    <w:rsid w:val="007F3652"/>
    <w:rsid w:val="007F7FE2"/>
    <w:rsid w:val="008016CF"/>
    <w:rsid w:val="00813B62"/>
    <w:rsid w:val="00816CFD"/>
    <w:rsid w:val="008229A2"/>
    <w:rsid w:val="00825066"/>
    <w:rsid w:val="00826A29"/>
    <w:rsid w:val="00830389"/>
    <w:rsid w:val="00832BF8"/>
    <w:rsid w:val="0083591F"/>
    <w:rsid w:val="00836BFB"/>
    <w:rsid w:val="00840AAE"/>
    <w:rsid w:val="00844261"/>
    <w:rsid w:val="00847C14"/>
    <w:rsid w:val="008548F0"/>
    <w:rsid w:val="0086297D"/>
    <w:rsid w:val="00862D5B"/>
    <w:rsid w:val="00864129"/>
    <w:rsid w:val="00867677"/>
    <w:rsid w:val="00870511"/>
    <w:rsid w:val="00873A07"/>
    <w:rsid w:val="00882A64"/>
    <w:rsid w:val="00883D88"/>
    <w:rsid w:val="0088659B"/>
    <w:rsid w:val="00886B72"/>
    <w:rsid w:val="00892F33"/>
    <w:rsid w:val="0089303A"/>
    <w:rsid w:val="008949B3"/>
    <w:rsid w:val="008976ED"/>
    <w:rsid w:val="008A6A1A"/>
    <w:rsid w:val="008B2A75"/>
    <w:rsid w:val="008B3211"/>
    <w:rsid w:val="008B4067"/>
    <w:rsid w:val="008B5971"/>
    <w:rsid w:val="008C5103"/>
    <w:rsid w:val="008C75C7"/>
    <w:rsid w:val="008D0374"/>
    <w:rsid w:val="008D776D"/>
    <w:rsid w:val="008E2A3D"/>
    <w:rsid w:val="008E4C94"/>
    <w:rsid w:val="008E5884"/>
    <w:rsid w:val="008F0DCD"/>
    <w:rsid w:val="008F3ECA"/>
    <w:rsid w:val="0090595C"/>
    <w:rsid w:val="009129FE"/>
    <w:rsid w:val="009152F8"/>
    <w:rsid w:val="009278B9"/>
    <w:rsid w:val="00935A3A"/>
    <w:rsid w:val="00942ED0"/>
    <w:rsid w:val="00952DED"/>
    <w:rsid w:val="0095507D"/>
    <w:rsid w:val="00955B27"/>
    <w:rsid w:val="00960A09"/>
    <w:rsid w:val="00971226"/>
    <w:rsid w:val="00981600"/>
    <w:rsid w:val="009828F0"/>
    <w:rsid w:val="00990AAB"/>
    <w:rsid w:val="00991A0E"/>
    <w:rsid w:val="009924D9"/>
    <w:rsid w:val="009A5185"/>
    <w:rsid w:val="009B0073"/>
    <w:rsid w:val="009B4F53"/>
    <w:rsid w:val="009C4274"/>
    <w:rsid w:val="009C6778"/>
    <w:rsid w:val="009D36C0"/>
    <w:rsid w:val="009E2DCF"/>
    <w:rsid w:val="009E33A8"/>
    <w:rsid w:val="009E58B8"/>
    <w:rsid w:val="009F2822"/>
    <w:rsid w:val="00A02B55"/>
    <w:rsid w:val="00A13DF6"/>
    <w:rsid w:val="00A15232"/>
    <w:rsid w:val="00A1645E"/>
    <w:rsid w:val="00A2004B"/>
    <w:rsid w:val="00A225C5"/>
    <w:rsid w:val="00A26166"/>
    <w:rsid w:val="00A43328"/>
    <w:rsid w:val="00A43E9E"/>
    <w:rsid w:val="00A51567"/>
    <w:rsid w:val="00A5618B"/>
    <w:rsid w:val="00A60530"/>
    <w:rsid w:val="00A60C5C"/>
    <w:rsid w:val="00A6446E"/>
    <w:rsid w:val="00A64B9B"/>
    <w:rsid w:val="00A65097"/>
    <w:rsid w:val="00A6643E"/>
    <w:rsid w:val="00A7068C"/>
    <w:rsid w:val="00A718B0"/>
    <w:rsid w:val="00A732B9"/>
    <w:rsid w:val="00A904FA"/>
    <w:rsid w:val="00AA09A7"/>
    <w:rsid w:val="00AA38C6"/>
    <w:rsid w:val="00AA418F"/>
    <w:rsid w:val="00AA4559"/>
    <w:rsid w:val="00AA53CB"/>
    <w:rsid w:val="00AA7776"/>
    <w:rsid w:val="00AB1075"/>
    <w:rsid w:val="00AB3424"/>
    <w:rsid w:val="00AB47A5"/>
    <w:rsid w:val="00AB756B"/>
    <w:rsid w:val="00AC3902"/>
    <w:rsid w:val="00AE02BC"/>
    <w:rsid w:val="00AF14E5"/>
    <w:rsid w:val="00AF70A8"/>
    <w:rsid w:val="00B05148"/>
    <w:rsid w:val="00B11B4F"/>
    <w:rsid w:val="00B14EA6"/>
    <w:rsid w:val="00B1534E"/>
    <w:rsid w:val="00B17E64"/>
    <w:rsid w:val="00B32A9A"/>
    <w:rsid w:val="00B3346F"/>
    <w:rsid w:val="00B458BA"/>
    <w:rsid w:val="00B47937"/>
    <w:rsid w:val="00B6029C"/>
    <w:rsid w:val="00B676FA"/>
    <w:rsid w:val="00B71086"/>
    <w:rsid w:val="00B72711"/>
    <w:rsid w:val="00B8152B"/>
    <w:rsid w:val="00B81DDB"/>
    <w:rsid w:val="00B853BC"/>
    <w:rsid w:val="00B86739"/>
    <w:rsid w:val="00B86A83"/>
    <w:rsid w:val="00B91527"/>
    <w:rsid w:val="00B91DBD"/>
    <w:rsid w:val="00B9310F"/>
    <w:rsid w:val="00BA439F"/>
    <w:rsid w:val="00BB0BAE"/>
    <w:rsid w:val="00BB5CED"/>
    <w:rsid w:val="00BC38AA"/>
    <w:rsid w:val="00BD2789"/>
    <w:rsid w:val="00BD4639"/>
    <w:rsid w:val="00BE4119"/>
    <w:rsid w:val="00C0349F"/>
    <w:rsid w:val="00C059DC"/>
    <w:rsid w:val="00C072E3"/>
    <w:rsid w:val="00C14AA0"/>
    <w:rsid w:val="00C15A7A"/>
    <w:rsid w:val="00C206A7"/>
    <w:rsid w:val="00C25329"/>
    <w:rsid w:val="00C30630"/>
    <w:rsid w:val="00C35227"/>
    <w:rsid w:val="00C371B4"/>
    <w:rsid w:val="00C4104F"/>
    <w:rsid w:val="00C41FD8"/>
    <w:rsid w:val="00C444A0"/>
    <w:rsid w:val="00C46738"/>
    <w:rsid w:val="00C54451"/>
    <w:rsid w:val="00C576DC"/>
    <w:rsid w:val="00C60AA9"/>
    <w:rsid w:val="00C74397"/>
    <w:rsid w:val="00C808FE"/>
    <w:rsid w:val="00C861F4"/>
    <w:rsid w:val="00C9049F"/>
    <w:rsid w:val="00C9250F"/>
    <w:rsid w:val="00CA2DA9"/>
    <w:rsid w:val="00CC07B2"/>
    <w:rsid w:val="00CC2BA0"/>
    <w:rsid w:val="00CC318D"/>
    <w:rsid w:val="00CC58B9"/>
    <w:rsid w:val="00CD454E"/>
    <w:rsid w:val="00CE7B69"/>
    <w:rsid w:val="00CF47D5"/>
    <w:rsid w:val="00D0008F"/>
    <w:rsid w:val="00D01195"/>
    <w:rsid w:val="00D01340"/>
    <w:rsid w:val="00D05649"/>
    <w:rsid w:val="00D131BF"/>
    <w:rsid w:val="00D16B3D"/>
    <w:rsid w:val="00D200E1"/>
    <w:rsid w:val="00D34670"/>
    <w:rsid w:val="00D356E0"/>
    <w:rsid w:val="00D3570C"/>
    <w:rsid w:val="00D52751"/>
    <w:rsid w:val="00D53C63"/>
    <w:rsid w:val="00D63876"/>
    <w:rsid w:val="00D63CE7"/>
    <w:rsid w:val="00D65149"/>
    <w:rsid w:val="00D7498C"/>
    <w:rsid w:val="00D74C88"/>
    <w:rsid w:val="00D80996"/>
    <w:rsid w:val="00D87B34"/>
    <w:rsid w:val="00D958F0"/>
    <w:rsid w:val="00DA4741"/>
    <w:rsid w:val="00DA4AF7"/>
    <w:rsid w:val="00DB1421"/>
    <w:rsid w:val="00DC12B6"/>
    <w:rsid w:val="00DC3955"/>
    <w:rsid w:val="00DD1767"/>
    <w:rsid w:val="00DE1FFA"/>
    <w:rsid w:val="00DE7192"/>
    <w:rsid w:val="00E01795"/>
    <w:rsid w:val="00E04AE7"/>
    <w:rsid w:val="00E05940"/>
    <w:rsid w:val="00E12AFC"/>
    <w:rsid w:val="00E16A5D"/>
    <w:rsid w:val="00E21113"/>
    <w:rsid w:val="00E2122A"/>
    <w:rsid w:val="00E40211"/>
    <w:rsid w:val="00E40716"/>
    <w:rsid w:val="00E5030A"/>
    <w:rsid w:val="00E5056E"/>
    <w:rsid w:val="00E53B1A"/>
    <w:rsid w:val="00E56BA9"/>
    <w:rsid w:val="00E61F34"/>
    <w:rsid w:val="00E64298"/>
    <w:rsid w:val="00E6706E"/>
    <w:rsid w:val="00E710CD"/>
    <w:rsid w:val="00E71C48"/>
    <w:rsid w:val="00E7237A"/>
    <w:rsid w:val="00E779FA"/>
    <w:rsid w:val="00E8425E"/>
    <w:rsid w:val="00E86AF2"/>
    <w:rsid w:val="00E9328E"/>
    <w:rsid w:val="00EB1731"/>
    <w:rsid w:val="00EB1CFB"/>
    <w:rsid w:val="00EB2484"/>
    <w:rsid w:val="00EB3348"/>
    <w:rsid w:val="00EC5181"/>
    <w:rsid w:val="00ED10A0"/>
    <w:rsid w:val="00ED54F0"/>
    <w:rsid w:val="00ED71BC"/>
    <w:rsid w:val="00EE310A"/>
    <w:rsid w:val="00EF0220"/>
    <w:rsid w:val="00F023A6"/>
    <w:rsid w:val="00F06F69"/>
    <w:rsid w:val="00F07CA6"/>
    <w:rsid w:val="00F12562"/>
    <w:rsid w:val="00F12ACF"/>
    <w:rsid w:val="00F16DA9"/>
    <w:rsid w:val="00F25CDC"/>
    <w:rsid w:val="00F26819"/>
    <w:rsid w:val="00F300FD"/>
    <w:rsid w:val="00F363F9"/>
    <w:rsid w:val="00F373AE"/>
    <w:rsid w:val="00F438EE"/>
    <w:rsid w:val="00F55CD0"/>
    <w:rsid w:val="00F5626E"/>
    <w:rsid w:val="00F60A76"/>
    <w:rsid w:val="00F62CEB"/>
    <w:rsid w:val="00F732A3"/>
    <w:rsid w:val="00F73D07"/>
    <w:rsid w:val="00F73E17"/>
    <w:rsid w:val="00F7581C"/>
    <w:rsid w:val="00F76F72"/>
    <w:rsid w:val="00F808DD"/>
    <w:rsid w:val="00F84AC0"/>
    <w:rsid w:val="00F853CB"/>
    <w:rsid w:val="00F87A7E"/>
    <w:rsid w:val="00F87AED"/>
    <w:rsid w:val="00F97D1A"/>
    <w:rsid w:val="00FA1458"/>
    <w:rsid w:val="00FA1861"/>
    <w:rsid w:val="00FA5A1D"/>
    <w:rsid w:val="00FA5FDC"/>
    <w:rsid w:val="00FB01D5"/>
    <w:rsid w:val="00FB2673"/>
    <w:rsid w:val="00FB7092"/>
    <w:rsid w:val="00FD0FB1"/>
    <w:rsid w:val="00FD2AE4"/>
    <w:rsid w:val="00FD2E4D"/>
    <w:rsid w:val="00FD3A30"/>
    <w:rsid w:val="00FD721C"/>
    <w:rsid w:val="00FE254E"/>
    <w:rsid w:val="00FE4364"/>
    <w:rsid w:val="00FE5BFA"/>
    <w:rsid w:val="00FE5E4F"/>
    <w:rsid w:val="00FF142B"/>
    <w:rsid w:val="00FF4904"/>
    <w:rsid w:val="00FF54BC"/>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46BB3"/>
  <w15:chartTrackingRefBased/>
  <w15:docId w15:val="{C129E76E-D407-4A6C-9808-5EB03FD3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716"/>
    <w:rPr>
      <w:rFonts w:ascii="Arial" w:hAnsi="Arial"/>
    </w:rPr>
  </w:style>
  <w:style w:type="paragraph" w:styleId="Heading1">
    <w:name w:val="heading 1"/>
    <w:basedOn w:val="Normal"/>
    <w:next w:val="Normal"/>
    <w:link w:val="Heading1Char"/>
    <w:autoRedefine/>
    <w:uiPriority w:val="9"/>
    <w:qFormat/>
    <w:rsid w:val="005E69AC"/>
    <w:pPr>
      <w:keepNext/>
      <w:keepLines/>
      <w:numPr>
        <w:numId w:val="1"/>
      </w:numPr>
      <w:spacing w:after="0" w:line="240" w:lineRule="auto"/>
      <w:jc w:val="both"/>
      <w:outlineLvl w:val="0"/>
    </w:pPr>
    <w:rPr>
      <w:rFonts w:ascii="Times New Roman" w:eastAsiaTheme="majorEastAsia" w:hAnsi="Times New Roman" w:cs="Times New Roman"/>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5D5B97"/>
    <w:pPr>
      <w:keepNext/>
      <w:keepLines/>
      <w:numPr>
        <w:ilvl w:val="1"/>
        <w:numId w:val="1"/>
      </w:numPr>
      <w:spacing w:after="0" w:line="240" w:lineRule="auto"/>
      <w:outlineLvl w:val="1"/>
    </w:pPr>
    <w:rPr>
      <w:rFonts w:ascii="Times New Roman" w:eastAsiaTheme="majorEastAsia" w:hAnsi="Times New Roman" w:cs="Times New Roman"/>
      <w:b/>
      <w:color w:val="2F5496" w:themeColor="accent1" w:themeShade="BF"/>
      <w:sz w:val="24"/>
      <w:szCs w:val="24"/>
    </w:rPr>
  </w:style>
  <w:style w:type="paragraph" w:styleId="Heading3">
    <w:name w:val="heading 3"/>
    <w:basedOn w:val="Normal"/>
    <w:next w:val="Normal"/>
    <w:link w:val="Heading3Char"/>
    <w:autoRedefine/>
    <w:uiPriority w:val="9"/>
    <w:unhideWhenUsed/>
    <w:qFormat/>
    <w:rsid w:val="0086297D"/>
    <w:pPr>
      <w:keepNext/>
      <w:keepLines/>
      <w:numPr>
        <w:ilvl w:val="2"/>
        <w:numId w:val="1"/>
      </w:numPr>
      <w:spacing w:after="0" w:line="240" w:lineRule="auto"/>
      <w:jc w:val="both"/>
      <w:outlineLvl w:val="2"/>
    </w:pPr>
    <w:rPr>
      <w:rFonts w:ascii="Times New Roman" w:eastAsiaTheme="majorEastAsia" w:hAnsi="Times New Roman" w:cs="Times New Roman"/>
      <w:b/>
      <w:color w:val="2F5496" w:themeColor="accent1" w:themeShade="BF"/>
      <w:sz w:val="24"/>
      <w:szCs w:val="24"/>
    </w:rPr>
  </w:style>
  <w:style w:type="paragraph" w:styleId="Heading4">
    <w:name w:val="heading 4"/>
    <w:basedOn w:val="Normal"/>
    <w:next w:val="Normal"/>
    <w:link w:val="Heading4Char"/>
    <w:autoRedefine/>
    <w:uiPriority w:val="9"/>
    <w:unhideWhenUsed/>
    <w:qFormat/>
    <w:rsid w:val="00E40716"/>
    <w:pPr>
      <w:keepNext/>
      <w:keepLines/>
      <w:numPr>
        <w:ilvl w:val="3"/>
        <w:numId w:val="1"/>
      </w:numPr>
      <w:spacing w:before="240" w:after="240"/>
      <w:ind w:left="900" w:hanging="900"/>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semiHidden/>
    <w:unhideWhenUsed/>
    <w:qFormat/>
    <w:rsid w:val="00E4071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071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4071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407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07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9AC"/>
    <w:rPr>
      <w:rFonts w:ascii="Times New Roman" w:eastAsiaTheme="majorEastAsia" w:hAnsi="Times New Roman" w:cs="Times New Roman"/>
      <w:b/>
      <w:bCs/>
      <w:color w:val="2F5496" w:themeColor="accent1" w:themeShade="BF"/>
      <w:sz w:val="24"/>
      <w:szCs w:val="24"/>
    </w:rPr>
  </w:style>
  <w:style w:type="character" w:customStyle="1" w:styleId="Heading2Char">
    <w:name w:val="Heading 2 Char"/>
    <w:basedOn w:val="DefaultParagraphFont"/>
    <w:link w:val="Heading2"/>
    <w:uiPriority w:val="9"/>
    <w:rsid w:val="005D5B97"/>
    <w:rPr>
      <w:rFonts w:ascii="Times New Roman" w:eastAsiaTheme="majorEastAsia" w:hAnsi="Times New Roman" w:cs="Times New Roman"/>
      <w:b/>
      <w:color w:val="2F5496" w:themeColor="accent1" w:themeShade="BF"/>
      <w:sz w:val="24"/>
      <w:szCs w:val="24"/>
    </w:rPr>
  </w:style>
  <w:style w:type="character" w:customStyle="1" w:styleId="Heading3Char">
    <w:name w:val="Heading 3 Char"/>
    <w:basedOn w:val="DefaultParagraphFont"/>
    <w:link w:val="Heading3"/>
    <w:uiPriority w:val="9"/>
    <w:rsid w:val="0086297D"/>
    <w:rPr>
      <w:rFonts w:ascii="Times New Roman" w:eastAsiaTheme="majorEastAsia" w:hAnsi="Times New Roman" w:cs="Times New Roman"/>
      <w:b/>
      <w:color w:val="2F5496" w:themeColor="accent1" w:themeShade="BF"/>
      <w:sz w:val="24"/>
      <w:szCs w:val="24"/>
    </w:rPr>
  </w:style>
  <w:style w:type="character" w:customStyle="1" w:styleId="Heading4Char">
    <w:name w:val="Heading 4 Char"/>
    <w:basedOn w:val="DefaultParagraphFont"/>
    <w:link w:val="Heading4"/>
    <w:uiPriority w:val="9"/>
    <w:rsid w:val="00E40716"/>
    <w:rPr>
      <w:rFonts w:ascii="Arial" w:eastAsiaTheme="majorEastAsia" w:hAnsi="Arial" w:cstheme="majorBidi"/>
      <w:b/>
      <w:i/>
      <w:iCs/>
      <w:color w:val="2F5496" w:themeColor="accent1" w:themeShade="BF"/>
    </w:rPr>
  </w:style>
  <w:style w:type="character" w:customStyle="1" w:styleId="Heading5Char">
    <w:name w:val="Heading 5 Char"/>
    <w:basedOn w:val="DefaultParagraphFont"/>
    <w:link w:val="Heading5"/>
    <w:uiPriority w:val="9"/>
    <w:semiHidden/>
    <w:rsid w:val="00E4071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4071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4071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407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071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4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716"/>
    <w:rPr>
      <w:rFonts w:ascii="Arial" w:hAnsi="Arial"/>
    </w:rPr>
  </w:style>
  <w:style w:type="paragraph" w:styleId="Footer">
    <w:name w:val="footer"/>
    <w:basedOn w:val="Normal"/>
    <w:link w:val="FooterChar"/>
    <w:uiPriority w:val="99"/>
    <w:unhideWhenUsed/>
    <w:rsid w:val="00E4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716"/>
    <w:rPr>
      <w:rFonts w:ascii="Arial" w:hAnsi="Arial"/>
    </w:rPr>
  </w:style>
  <w:style w:type="table" w:styleId="TableGrid">
    <w:name w:val="Table Grid"/>
    <w:basedOn w:val="TableNormal"/>
    <w:uiPriority w:val="39"/>
    <w:rsid w:val="00E4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716"/>
    <w:rPr>
      <w:color w:val="808080"/>
    </w:rPr>
  </w:style>
  <w:style w:type="table" w:styleId="GridTable4-Accent1">
    <w:name w:val="Grid Table 4 Accent 1"/>
    <w:basedOn w:val="TableNormal"/>
    <w:uiPriority w:val="49"/>
    <w:rsid w:val="00E4071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E40716"/>
    <w:pPr>
      <w:spacing w:after="200" w:line="240" w:lineRule="auto"/>
    </w:pPr>
    <w:rPr>
      <w:i/>
      <w:iCs/>
      <w:color w:val="44546A" w:themeColor="text2"/>
      <w:sz w:val="18"/>
      <w:szCs w:val="18"/>
    </w:rPr>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E40716"/>
    <w:pPr>
      <w:ind w:left="720"/>
      <w:contextualSpacing/>
    </w:pPr>
  </w:style>
  <w:style w:type="paragraph" w:styleId="TOCHeading">
    <w:name w:val="TOC Heading"/>
    <w:basedOn w:val="Heading1"/>
    <w:next w:val="Normal"/>
    <w:uiPriority w:val="39"/>
    <w:unhideWhenUsed/>
    <w:qFormat/>
    <w:rsid w:val="00E40716"/>
    <w:pPr>
      <w:numPr>
        <w:numId w:val="0"/>
      </w:numPr>
      <w:spacing w:before="240"/>
      <w:outlineLvl w:val="9"/>
    </w:pPr>
    <w:rPr>
      <w:rFonts w:asciiTheme="majorHAnsi" w:hAnsiTheme="majorHAnsi"/>
    </w:rPr>
  </w:style>
  <w:style w:type="paragraph" w:styleId="TOC1">
    <w:name w:val="toc 1"/>
    <w:basedOn w:val="Normal"/>
    <w:next w:val="Normal"/>
    <w:autoRedefine/>
    <w:uiPriority w:val="39"/>
    <w:unhideWhenUsed/>
    <w:rsid w:val="00E40716"/>
    <w:pPr>
      <w:tabs>
        <w:tab w:val="left" w:pos="360"/>
        <w:tab w:val="right" w:leader="dot" w:pos="9016"/>
      </w:tabs>
      <w:spacing w:after="100"/>
      <w:ind w:left="360" w:hanging="360"/>
    </w:pPr>
  </w:style>
  <w:style w:type="paragraph" w:styleId="TOC2">
    <w:name w:val="toc 2"/>
    <w:basedOn w:val="Normal"/>
    <w:next w:val="Normal"/>
    <w:autoRedefine/>
    <w:uiPriority w:val="39"/>
    <w:unhideWhenUsed/>
    <w:rsid w:val="00E40716"/>
    <w:pPr>
      <w:tabs>
        <w:tab w:val="left" w:pos="810"/>
        <w:tab w:val="right" w:leader="dot" w:pos="9016"/>
      </w:tabs>
      <w:spacing w:after="100"/>
      <w:ind w:left="810" w:hanging="450"/>
    </w:pPr>
  </w:style>
  <w:style w:type="paragraph" w:styleId="TOC3">
    <w:name w:val="toc 3"/>
    <w:basedOn w:val="Normal"/>
    <w:next w:val="Normal"/>
    <w:autoRedefine/>
    <w:uiPriority w:val="39"/>
    <w:unhideWhenUsed/>
    <w:rsid w:val="00E40716"/>
    <w:pPr>
      <w:tabs>
        <w:tab w:val="left" w:pos="1440"/>
        <w:tab w:val="right" w:leader="dot" w:pos="9016"/>
      </w:tabs>
      <w:spacing w:after="100"/>
      <w:ind w:left="1440" w:hanging="640"/>
    </w:pPr>
  </w:style>
  <w:style w:type="character" w:styleId="Hyperlink">
    <w:name w:val="Hyperlink"/>
    <w:basedOn w:val="DefaultParagraphFont"/>
    <w:uiPriority w:val="99"/>
    <w:unhideWhenUsed/>
    <w:rsid w:val="00E40716"/>
    <w:rPr>
      <w:color w:val="0563C1" w:themeColor="hyperlink"/>
      <w:u w:val="single"/>
    </w:rPr>
  </w:style>
  <w:style w:type="paragraph" w:customStyle="1" w:styleId="Default">
    <w:name w:val="Default"/>
    <w:rsid w:val="00E40716"/>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E40716"/>
    <w:pPr>
      <w:spacing w:line="240" w:lineRule="auto"/>
    </w:pPr>
    <w:rPr>
      <w:sz w:val="20"/>
      <w:szCs w:val="20"/>
    </w:rPr>
  </w:style>
  <w:style w:type="character" w:customStyle="1" w:styleId="CommentTextChar">
    <w:name w:val="Comment Text Char"/>
    <w:basedOn w:val="DefaultParagraphFont"/>
    <w:link w:val="CommentText"/>
    <w:uiPriority w:val="99"/>
    <w:rsid w:val="00E40716"/>
    <w:rPr>
      <w:rFonts w:ascii="Arial" w:hAnsi="Arial"/>
      <w:sz w:val="20"/>
      <w:szCs w:val="20"/>
    </w:rPr>
  </w:style>
  <w:style w:type="character" w:styleId="CommentReference">
    <w:name w:val="annotation reference"/>
    <w:basedOn w:val="DefaultParagraphFont"/>
    <w:uiPriority w:val="99"/>
    <w:unhideWhenUsed/>
    <w:rsid w:val="00E40716"/>
    <w:rPr>
      <w:sz w:val="16"/>
      <w:szCs w:val="16"/>
    </w:rPr>
  </w:style>
  <w:style w:type="paragraph" w:styleId="FootnoteText">
    <w:name w:val="footnote text"/>
    <w:aliases w:val="single space,footnote text,fn,FOOTNOTES,texto de nota al pie Car1,Nota a pie/Bibliog Car1,Texto nota pie Car1 Car1,Texto nota pie Car Car Car1,Car1 Car Car Car1,Car1 Car2 Car1,Car1 Car1,ft Car Car Car,ft Car Car,Texto nota pie Car11 Car,ft"/>
    <w:basedOn w:val="Normal"/>
    <w:link w:val="FootnoteTextChar"/>
    <w:uiPriority w:val="99"/>
    <w:qFormat/>
    <w:rsid w:val="00E407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texto de nota al pie Car1 Char,Nota a pie/Bibliog Car1 Char,Texto nota pie Car1 Car1 Char,Texto nota pie Car Car Car1 Char,Car1 Car Car Car1 Char,Car1 Car2 Car1 Char,ft Char"/>
    <w:basedOn w:val="DefaultParagraphFont"/>
    <w:link w:val="FootnoteText"/>
    <w:uiPriority w:val="99"/>
    <w:rsid w:val="00E40716"/>
    <w:rPr>
      <w:rFonts w:ascii="Times New Roman" w:eastAsia="Times New Roman" w:hAnsi="Times New Roman" w:cs="Times New Roman"/>
      <w:sz w:val="20"/>
      <w:szCs w:val="20"/>
    </w:rPr>
  </w:style>
  <w:style w:type="character" w:styleId="FootnoteReference">
    <w:name w:val="footnote reference"/>
    <w:aliases w:val="referencia nota al pie,ftref,16 Point,Superscript 6 Point,Footnote Reference Char,ftref Char,Char Char Char Char Car Char Char,16 Point Char,Superscript 6 Point Char,Footnote Reference Number Char,Footnote Reference_LVL6 Char,fr Cha,R"/>
    <w:basedOn w:val="DefaultParagraphFont"/>
    <w:link w:val="4G"/>
    <w:uiPriority w:val="99"/>
    <w:qFormat/>
    <w:rsid w:val="00E40716"/>
    <w:rPr>
      <w:vertAlign w:val="superscript"/>
    </w:rPr>
  </w:style>
  <w:style w:type="paragraph" w:styleId="NormalWeb">
    <w:name w:val="Normal (Web)"/>
    <w:basedOn w:val="Normal"/>
    <w:uiPriority w:val="99"/>
    <w:unhideWhenUsed/>
    <w:rsid w:val="00E40716"/>
    <w:pPr>
      <w:spacing w:before="100" w:beforeAutospacing="1" w:after="100" w:afterAutospacing="1" w:line="240" w:lineRule="auto"/>
    </w:pPr>
    <w:rPr>
      <w:rFonts w:ascii="Times New Roman" w:eastAsia="Times New Roman" w:hAnsi="Times New Roman" w:cs="Times New Roman"/>
      <w:sz w:val="24"/>
      <w:szCs w:val="24"/>
      <w:lang w:val="en-IN" w:eastAsia="en-GB" w:bidi="hi-IN"/>
    </w:rPr>
  </w:style>
  <w:style w:type="paragraph" w:styleId="Revision">
    <w:name w:val="Revision"/>
    <w:hidden/>
    <w:uiPriority w:val="99"/>
    <w:semiHidden/>
    <w:rsid w:val="00E40716"/>
    <w:pPr>
      <w:spacing w:after="0" w:line="240" w:lineRule="auto"/>
    </w:pPr>
    <w:rPr>
      <w:rFonts w:ascii="Arial" w:hAnsi="Arial"/>
    </w:rPr>
  </w:style>
  <w:style w:type="paragraph" w:customStyle="1" w:styleId="Annex">
    <w:name w:val="Annex"/>
    <w:basedOn w:val="Heading2"/>
    <w:next w:val="Heading2"/>
    <w:link w:val="AnnexChar"/>
    <w:qFormat/>
    <w:rsid w:val="00E40716"/>
    <w:pPr>
      <w:numPr>
        <w:ilvl w:val="0"/>
        <w:numId w:val="0"/>
      </w:numPr>
    </w:pPr>
  </w:style>
  <w:style w:type="character" w:customStyle="1" w:styleId="AnnexChar">
    <w:name w:val="Annex Char"/>
    <w:basedOn w:val="Heading2Char"/>
    <w:link w:val="Annex"/>
    <w:rsid w:val="00E40716"/>
    <w:rPr>
      <w:rFonts w:ascii="Times New Roman" w:eastAsiaTheme="majorEastAsia" w:hAnsi="Times New Roman" w:cs="Times New Roman"/>
      <w:b/>
      <w:color w:val="2F5496" w:themeColor="accent1" w:themeShade="BF"/>
      <w:sz w:val="24"/>
      <w:szCs w:val="24"/>
    </w:rPr>
  </w:style>
  <w:style w:type="table" w:customStyle="1" w:styleId="TableGrid1">
    <w:name w:val="Table Grid1"/>
    <w:basedOn w:val="TableNormal"/>
    <w:next w:val="TableGrid"/>
    <w:uiPriority w:val="59"/>
    <w:rsid w:val="00E407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e41">
    <w:name w:val="Vale 41"/>
    <w:basedOn w:val="TableNormal"/>
    <w:next w:val="TableGrid"/>
    <w:uiPriority w:val="39"/>
    <w:qFormat/>
    <w:rsid w:val="00E40716"/>
    <w:pPr>
      <w:spacing w:before="100" w:beforeAutospacing="1" w:after="100" w:afterAutospacing="1" w:line="276" w:lineRule="auto"/>
      <w:ind w:left="357"/>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40716"/>
  </w:style>
  <w:style w:type="paragraph" w:styleId="TOC4">
    <w:name w:val="toc 4"/>
    <w:basedOn w:val="Normal"/>
    <w:next w:val="Normal"/>
    <w:autoRedefine/>
    <w:uiPriority w:val="39"/>
    <w:unhideWhenUsed/>
    <w:rsid w:val="00E40716"/>
    <w:pPr>
      <w:spacing w:beforeAutospacing="1" w:after="0" w:line="240" w:lineRule="auto"/>
      <w:ind w:left="720" w:hanging="357"/>
    </w:pPr>
    <w:rPr>
      <w:rFonts w:asciiTheme="minorHAnsi" w:hAnsiTheme="minorHAnsi" w:cstheme="minorHAnsi"/>
      <w:sz w:val="18"/>
      <w:szCs w:val="18"/>
      <w:lang w:val="en-GB"/>
    </w:rPr>
  </w:style>
  <w:style w:type="paragraph" w:styleId="TOC5">
    <w:name w:val="toc 5"/>
    <w:basedOn w:val="Normal"/>
    <w:next w:val="Normal"/>
    <w:autoRedefine/>
    <w:uiPriority w:val="39"/>
    <w:unhideWhenUsed/>
    <w:rsid w:val="00E40716"/>
    <w:pPr>
      <w:spacing w:beforeAutospacing="1" w:after="0" w:line="240" w:lineRule="auto"/>
      <w:ind w:left="960" w:hanging="357"/>
    </w:pPr>
    <w:rPr>
      <w:rFonts w:asciiTheme="minorHAnsi" w:hAnsiTheme="minorHAnsi" w:cstheme="minorHAnsi"/>
      <w:sz w:val="18"/>
      <w:szCs w:val="18"/>
      <w:lang w:val="en-GB"/>
    </w:rPr>
  </w:style>
  <w:style w:type="paragraph" w:styleId="TOC6">
    <w:name w:val="toc 6"/>
    <w:basedOn w:val="Normal"/>
    <w:next w:val="Normal"/>
    <w:autoRedefine/>
    <w:uiPriority w:val="39"/>
    <w:unhideWhenUsed/>
    <w:rsid w:val="00E40716"/>
    <w:pPr>
      <w:spacing w:beforeAutospacing="1" w:after="0" w:line="240" w:lineRule="auto"/>
      <w:ind w:left="1200" w:hanging="357"/>
    </w:pPr>
    <w:rPr>
      <w:rFonts w:asciiTheme="minorHAnsi" w:hAnsiTheme="minorHAnsi" w:cstheme="minorHAnsi"/>
      <w:sz w:val="18"/>
      <w:szCs w:val="18"/>
      <w:lang w:val="en-GB"/>
    </w:rPr>
  </w:style>
  <w:style w:type="paragraph" w:styleId="TOC7">
    <w:name w:val="toc 7"/>
    <w:basedOn w:val="Normal"/>
    <w:next w:val="Normal"/>
    <w:autoRedefine/>
    <w:uiPriority w:val="39"/>
    <w:unhideWhenUsed/>
    <w:rsid w:val="00E40716"/>
    <w:pPr>
      <w:spacing w:beforeAutospacing="1" w:after="0" w:line="240" w:lineRule="auto"/>
      <w:ind w:left="1440" w:hanging="357"/>
    </w:pPr>
    <w:rPr>
      <w:rFonts w:asciiTheme="minorHAnsi" w:hAnsiTheme="minorHAnsi" w:cstheme="minorHAnsi"/>
      <w:sz w:val="18"/>
      <w:szCs w:val="18"/>
      <w:lang w:val="en-GB"/>
    </w:rPr>
  </w:style>
  <w:style w:type="paragraph" w:styleId="TOC8">
    <w:name w:val="toc 8"/>
    <w:basedOn w:val="Normal"/>
    <w:next w:val="Normal"/>
    <w:autoRedefine/>
    <w:uiPriority w:val="39"/>
    <w:unhideWhenUsed/>
    <w:rsid w:val="00E40716"/>
    <w:pPr>
      <w:spacing w:beforeAutospacing="1" w:after="0" w:line="240" w:lineRule="auto"/>
      <w:ind w:left="1680" w:hanging="357"/>
    </w:pPr>
    <w:rPr>
      <w:rFonts w:asciiTheme="minorHAnsi" w:hAnsiTheme="minorHAnsi" w:cstheme="minorHAnsi"/>
      <w:sz w:val="18"/>
      <w:szCs w:val="18"/>
      <w:lang w:val="en-GB"/>
    </w:rPr>
  </w:style>
  <w:style w:type="paragraph" w:styleId="TOC9">
    <w:name w:val="toc 9"/>
    <w:basedOn w:val="Normal"/>
    <w:next w:val="Normal"/>
    <w:autoRedefine/>
    <w:uiPriority w:val="39"/>
    <w:unhideWhenUsed/>
    <w:rsid w:val="00E40716"/>
    <w:pPr>
      <w:spacing w:beforeAutospacing="1" w:after="0" w:line="240" w:lineRule="auto"/>
      <w:ind w:left="1920" w:hanging="357"/>
    </w:pPr>
    <w:rPr>
      <w:rFonts w:asciiTheme="minorHAnsi" w:hAnsiTheme="minorHAnsi" w:cstheme="minorHAnsi"/>
      <w:sz w:val="18"/>
      <w:szCs w:val="18"/>
      <w:lang w:val="en-GB"/>
    </w:rPr>
  </w:style>
  <w:style w:type="character" w:customStyle="1" w:styleId="UnresolvedMention1">
    <w:name w:val="Unresolved Mention1"/>
    <w:basedOn w:val="DefaultParagraphFont"/>
    <w:uiPriority w:val="99"/>
    <w:semiHidden/>
    <w:unhideWhenUsed/>
    <w:rsid w:val="00E40716"/>
    <w:rPr>
      <w:color w:val="605E5C"/>
      <w:shd w:val="clear" w:color="auto" w:fill="E1DFDD"/>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basedOn w:val="DefaultParagraphFont"/>
    <w:link w:val="ListParagraph"/>
    <w:uiPriority w:val="99"/>
    <w:qFormat/>
    <w:rsid w:val="00E40716"/>
    <w:rPr>
      <w:rFonts w:ascii="Arial" w:hAnsi="Arial"/>
    </w:rPr>
  </w:style>
  <w:style w:type="paragraph" w:styleId="NoSpacing">
    <w:name w:val="No Spacing"/>
    <w:link w:val="NoSpacingChar"/>
    <w:uiPriority w:val="1"/>
    <w:qFormat/>
    <w:rsid w:val="00E40716"/>
    <w:pPr>
      <w:spacing w:after="0" w:line="240" w:lineRule="auto"/>
    </w:pPr>
    <w:rPr>
      <w:rFonts w:ascii="Calibri" w:eastAsia="Calibri" w:hAnsi="Calibri" w:cs="Times New Roman"/>
      <w:sz w:val="24"/>
      <w:szCs w:val="24"/>
    </w:rPr>
  </w:style>
  <w:style w:type="character" w:customStyle="1" w:styleId="NoSpacingChar">
    <w:name w:val="No Spacing Char"/>
    <w:link w:val="NoSpacing"/>
    <w:uiPriority w:val="1"/>
    <w:rsid w:val="00E40716"/>
    <w:rPr>
      <w:rFonts w:ascii="Calibri" w:eastAsia="Calibri" w:hAnsi="Calibri" w:cs="Times New Roman"/>
      <w:sz w:val="24"/>
      <w:szCs w:val="24"/>
    </w:rPr>
  </w:style>
  <w:style w:type="character" w:styleId="Emphasis">
    <w:name w:val="Emphasis"/>
    <w:basedOn w:val="DefaultParagraphFont"/>
    <w:uiPriority w:val="20"/>
    <w:qFormat/>
    <w:rsid w:val="00E40716"/>
    <w:rPr>
      <w:i/>
      <w:iCs/>
    </w:rPr>
  </w:style>
  <w:style w:type="paragraph" w:customStyle="1" w:styleId="bullet1">
    <w:name w:val="bullet 1"/>
    <w:basedOn w:val="Normal"/>
    <w:rsid w:val="00E40716"/>
    <w:pPr>
      <w:numPr>
        <w:numId w:val="13"/>
      </w:numPr>
      <w:spacing w:after="120" w:line="240" w:lineRule="auto"/>
      <w:jc w:val="both"/>
    </w:pPr>
    <w:rPr>
      <w:rFonts w:ascii="Times New Roman" w:eastAsia="Times New Roman" w:hAnsi="Times New Roman" w:cs="Times New Roman"/>
      <w:szCs w:val="20"/>
      <w:lang w:val="en-GB"/>
    </w:rPr>
  </w:style>
  <w:style w:type="table" w:styleId="GridTable4-Accent5">
    <w:name w:val="Grid Table 4 Accent 5"/>
    <w:basedOn w:val="TableNormal"/>
    <w:uiPriority w:val="49"/>
    <w:rsid w:val="00E407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
    <w:name w:val="Grid Table 2 Accent 5"/>
    <w:basedOn w:val="TableNormal"/>
    <w:uiPriority w:val="47"/>
    <w:rsid w:val="00E4071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ommentSubject">
    <w:name w:val="annotation subject"/>
    <w:basedOn w:val="CommentText"/>
    <w:next w:val="CommentText"/>
    <w:link w:val="CommentSubjectChar"/>
    <w:uiPriority w:val="99"/>
    <w:semiHidden/>
    <w:unhideWhenUsed/>
    <w:rsid w:val="00E40716"/>
    <w:rPr>
      <w:b/>
      <w:bCs/>
    </w:rPr>
  </w:style>
  <w:style w:type="character" w:customStyle="1" w:styleId="CommentSubjectChar">
    <w:name w:val="Comment Subject Char"/>
    <w:basedOn w:val="CommentTextChar"/>
    <w:link w:val="CommentSubject"/>
    <w:uiPriority w:val="99"/>
    <w:semiHidden/>
    <w:rsid w:val="00E40716"/>
    <w:rPr>
      <w:rFonts w:ascii="Arial" w:hAnsi="Arial"/>
      <w:b/>
      <w:bCs/>
      <w:sz w:val="20"/>
      <w:szCs w:val="20"/>
    </w:rPr>
  </w:style>
  <w:style w:type="paragraph" w:styleId="BalloonText">
    <w:name w:val="Balloon Text"/>
    <w:basedOn w:val="Normal"/>
    <w:link w:val="BalloonTextChar"/>
    <w:uiPriority w:val="99"/>
    <w:semiHidden/>
    <w:unhideWhenUsed/>
    <w:rsid w:val="00E40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16"/>
    <w:rPr>
      <w:rFonts w:ascii="Segoe UI" w:hAnsi="Segoe UI" w:cs="Segoe UI"/>
      <w:sz w:val="18"/>
      <w:szCs w:val="18"/>
    </w:rPr>
  </w:style>
  <w:style w:type="character" w:styleId="UnresolvedMention">
    <w:name w:val="Unresolved Mention"/>
    <w:basedOn w:val="DefaultParagraphFont"/>
    <w:uiPriority w:val="99"/>
    <w:semiHidden/>
    <w:unhideWhenUsed/>
    <w:rsid w:val="00E40716"/>
    <w:rPr>
      <w:color w:val="605E5C"/>
      <w:shd w:val="clear" w:color="auto" w:fill="E1DFDD"/>
    </w:rPr>
  </w:style>
  <w:style w:type="paragraph" w:customStyle="1" w:styleId="4G">
    <w:name w:val="4_G"/>
    <w:aliases w:val=" BVI fnr Char Char Char,4_G Char Char,BVI fnr Car Car Car Car Char Char1,BVI fnr Car Car Char Char,BVI fnr Car Char Char,BVI fnr Char Char,FNRefe Char Char,Footnote Reference1 Char Char,Footnotes refss Char Char,ftref Char Char"/>
    <w:basedOn w:val="Normal"/>
    <w:link w:val="FootnoteReference"/>
    <w:uiPriority w:val="99"/>
    <w:rsid w:val="008B2A75"/>
    <w:pPr>
      <w:spacing w:line="240" w:lineRule="exact"/>
      <w:jc w:val="both"/>
    </w:pPr>
    <w:rPr>
      <w:rFonts w:asciiTheme="minorHAnsi" w:hAnsiTheme="minorHAnsi"/>
      <w:vertAlign w:val="superscript"/>
    </w:rPr>
  </w:style>
  <w:style w:type="character" w:customStyle="1" w:styleId="cf01">
    <w:name w:val="cf01"/>
    <w:basedOn w:val="DefaultParagraphFont"/>
    <w:rsid w:val="00E211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725">
      <w:bodyDiv w:val="1"/>
      <w:marLeft w:val="0"/>
      <w:marRight w:val="0"/>
      <w:marTop w:val="0"/>
      <w:marBottom w:val="0"/>
      <w:divBdr>
        <w:top w:val="none" w:sz="0" w:space="0" w:color="auto"/>
        <w:left w:val="none" w:sz="0" w:space="0" w:color="auto"/>
        <w:bottom w:val="none" w:sz="0" w:space="0" w:color="auto"/>
        <w:right w:val="none" w:sz="0" w:space="0" w:color="auto"/>
      </w:divBdr>
    </w:div>
    <w:div w:id="73170191">
      <w:bodyDiv w:val="1"/>
      <w:marLeft w:val="0"/>
      <w:marRight w:val="0"/>
      <w:marTop w:val="0"/>
      <w:marBottom w:val="0"/>
      <w:divBdr>
        <w:top w:val="none" w:sz="0" w:space="0" w:color="auto"/>
        <w:left w:val="none" w:sz="0" w:space="0" w:color="auto"/>
        <w:bottom w:val="none" w:sz="0" w:space="0" w:color="auto"/>
        <w:right w:val="none" w:sz="0" w:space="0" w:color="auto"/>
      </w:divBdr>
    </w:div>
    <w:div w:id="74981503">
      <w:bodyDiv w:val="1"/>
      <w:marLeft w:val="0"/>
      <w:marRight w:val="0"/>
      <w:marTop w:val="0"/>
      <w:marBottom w:val="0"/>
      <w:divBdr>
        <w:top w:val="none" w:sz="0" w:space="0" w:color="auto"/>
        <w:left w:val="none" w:sz="0" w:space="0" w:color="auto"/>
        <w:bottom w:val="none" w:sz="0" w:space="0" w:color="auto"/>
        <w:right w:val="none" w:sz="0" w:space="0" w:color="auto"/>
      </w:divBdr>
    </w:div>
    <w:div w:id="357464469">
      <w:bodyDiv w:val="1"/>
      <w:marLeft w:val="0"/>
      <w:marRight w:val="0"/>
      <w:marTop w:val="0"/>
      <w:marBottom w:val="0"/>
      <w:divBdr>
        <w:top w:val="none" w:sz="0" w:space="0" w:color="auto"/>
        <w:left w:val="none" w:sz="0" w:space="0" w:color="auto"/>
        <w:bottom w:val="none" w:sz="0" w:space="0" w:color="auto"/>
        <w:right w:val="none" w:sz="0" w:space="0" w:color="auto"/>
      </w:divBdr>
    </w:div>
    <w:div w:id="644315404">
      <w:bodyDiv w:val="1"/>
      <w:marLeft w:val="0"/>
      <w:marRight w:val="0"/>
      <w:marTop w:val="0"/>
      <w:marBottom w:val="0"/>
      <w:divBdr>
        <w:top w:val="none" w:sz="0" w:space="0" w:color="auto"/>
        <w:left w:val="none" w:sz="0" w:space="0" w:color="auto"/>
        <w:bottom w:val="none" w:sz="0" w:space="0" w:color="auto"/>
        <w:right w:val="none" w:sz="0" w:space="0" w:color="auto"/>
      </w:divBdr>
    </w:div>
    <w:div w:id="676271314">
      <w:bodyDiv w:val="1"/>
      <w:marLeft w:val="0"/>
      <w:marRight w:val="0"/>
      <w:marTop w:val="0"/>
      <w:marBottom w:val="0"/>
      <w:divBdr>
        <w:top w:val="none" w:sz="0" w:space="0" w:color="auto"/>
        <w:left w:val="none" w:sz="0" w:space="0" w:color="auto"/>
        <w:bottom w:val="none" w:sz="0" w:space="0" w:color="auto"/>
        <w:right w:val="none" w:sz="0" w:space="0" w:color="auto"/>
      </w:divBdr>
    </w:div>
    <w:div w:id="766119924">
      <w:bodyDiv w:val="1"/>
      <w:marLeft w:val="0"/>
      <w:marRight w:val="0"/>
      <w:marTop w:val="0"/>
      <w:marBottom w:val="0"/>
      <w:divBdr>
        <w:top w:val="none" w:sz="0" w:space="0" w:color="auto"/>
        <w:left w:val="none" w:sz="0" w:space="0" w:color="auto"/>
        <w:bottom w:val="none" w:sz="0" w:space="0" w:color="auto"/>
        <w:right w:val="none" w:sz="0" w:space="0" w:color="auto"/>
      </w:divBdr>
    </w:div>
    <w:div w:id="882211238">
      <w:bodyDiv w:val="1"/>
      <w:marLeft w:val="0"/>
      <w:marRight w:val="0"/>
      <w:marTop w:val="0"/>
      <w:marBottom w:val="0"/>
      <w:divBdr>
        <w:top w:val="none" w:sz="0" w:space="0" w:color="auto"/>
        <w:left w:val="none" w:sz="0" w:space="0" w:color="auto"/>
        <w:bottom w:val="none" w:sz="0" w:space="0" w:color="auto"/>
        <w:right w:val="none" w:sz="0" w:space="0" w:color="auto"/>
      </w:divBdr>
    </w:div>
    <w:div w:id="1202785166">
      <w:bodyDiv w:val="1"/>
      <w:marLeft w:val="0"/>
      <w:marRight w:val="0"/>
      <w:marTop w:val="0"/>
      <w:marBottom w:val="0"/>
      <w:divBdr>
        <w:top w:val="none" w:sz="0" w:space="0" w:color="auto"/>
        <w:left w:val="none" w:sz="0" w:space="0" w:color="auto"/>
        <w:bottom w:val="none" w:sz="0" w:space="0" w:color="auto"/>
        <w:right w:val="none" w:sz="0" w:space="0" w:color="auto"/>
      </w:divBdr>
    </w:div>
    <w:div w:id="1259437583">
      <w:bodyDiv w:val="1"/>
      <w:marLeft w:val="0"/>
      <w:marRight w:val="0"/>
      <w:marTop w:val="0"/>
      <w:marBottom w:val="0"/>
      <w:divBdr>
        <w:top w:val="none" w:sz="0" w:space="0" w:color="auto"/>
        <w:left w:val="none" w:sz="0" w:space="0" w:color="auto"/>
        <w:bottom w:val="none" w:sz="0" w:space="0" w:color="auto"/>
        <w:right w:val="none" w:sz="0" w:space="0" w:color="auto"/>
      </w:divBdr>
    </w:div>
    <w:div w:id="1434128327">
      <w:bodyDiv w:val="1"/>
      <w:marLeft w:val="0"/>
      <w:marRight w:val="0"/>
      <w:marTop w:val="0"/>
      <w:marBottom w:val="0"/>
      <w:divBdr>
        <w:top w:val="none" w:sz="0" w:space="0" w:color="auto"/>
        <w:left w:val="none" w:sz="0" w:space="0" w:color="auto"/>
        <w:bottom w:val="none" w:sz="0" w:space="0" w:color="auto"/>
        <w:right w:val="none" w:sz="0" w:space="0" w:color="auto"/>
      </w:divBdr>
    </w:div>
    <w:div w:id="1485853383">
      <w:bodyDiv w:val="1"/>
      <w:marLeft w:val="0"/>
      <w:marRight w:val="0"/>
      <w:marTop w:val="0"/>
      <w:marBottom w:val="0"/>
      <w:divBdr>
        <w:top w:val="none" w:sz="0" w:space="0" w:color="auto"/>
        <w:left w:val="none" w:sz="0" w:space="0" w:color="auto"/>
        <w:bottom w:val="none" w:sz="0" w:space="0" w:color="auto"/>
        <w:right w:val="none" w:sz="0" w:space="0" w:color="auto"/>
      </w:divBdr>
    </w:div>
    <w:div w:id="1548494204">
      <w:bodyDiv w:val="1"/>
      <w:marLeft w:val="0"/>
      <w:marRight w:val="0"/>
      <w:marTop w:val="0"/>
      <w:marBottom w:val="0"/>
      <w:divBdr>
        <w:top w:val="none" w:sz="0" w:space="0" w:color="auto"/>
        <w:left w:val="none" w:sz="0" w:space="0" w:color="auto"/>
        <w:bottom w:val="none" w:sz="0" w:space="0" w:color="auto"/>
        <w:right w:val="none" w:sz="0" w:space="0" w:color="auto"/>
      </w:divBdr>
    </w:div>
    <w:div w:id="1644501227">
      <w:bodyDiv w:val="1"/>
      <w:marLeft w:val="0"/>
      <w:marRight w:val="0"/>
      <w:marTop w:val="0"/>
      <w:marBottom w:val="0"/>
      <w:divBdr>
        <w:top w:val="none" w:sz="0" w:space="0" w:color="auto"/>
        <w:left w:val="none" w:sz="0" w:space="0" w:color="auto"/>
        <w:bottom w:val="none" w:sz="0" w:space="0" w:color="auto"/>
        <w:right w:val="none" w:sz="0" w:space="0" w:color="auto"/>
      </w:divBdr>
    </w:div>
    <w:div w:id="1705865306">
      <w:bodyDiv w:val="1"/>
      <w:marLeft w:val="0"/>
      <w:marRight w:val="0"/>
      <w:marTop w:val="0"/>
      <w:marBottom w:val="0"/>
      <w:divBdr>
        <w:top w:val="none" w:sz="0" w:space="0" w:color="auto"/>
        <w:left w:val="none" w:sz="0" w:space="0" w:color="auto"/>
        <w:bottom w:val="none" w:sz="0" w:space="0" w:color="auto"/>
        <w:right w:val="none" w:sz="0" w:space="0" w:color="auto"/>
      </w:divBdr>
    </w:div>
    <w:div w:id="1958757087">
      <w:bodyDiv w:val="1"/>
      <w:marLeft w:val="0"/>
      <w:marRight w:val="0"/>
      <w:marTop w:val="0"/>
      <w:marBottom w:val="0"/>
      <w:divBdr>
        <w:top w:val="none" w:sz="0" w:space="0" w:color="auto"/>
        <w:left w:val="none" w:sz="0" w:space="0" w:color="auto"/>
        <w:bottom w:val="none" w:sz="0" w:space="0" w:color="auto"/>
        <w:right w:val="none" w:sz="0" w:space="0" w:color="auto"/>
      </w:divBdr>
    </w:div>
    <w:div w:id="20147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E9FE-A239-4610-9C15-60478868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12619</Words>
  <Characters>71931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Ontita</dc:creator>
  <cp:keywords/>
  <dc:description/>
  <cp:lastModifiedBy>Tim Kelly</cp:lastModifiedBy>
  <cp:revision>2</cp:revision>
  <dcterms:created xsi:type="dcterms:W3CDTF">2023-09-14T16:15:00Z</dcterms:created>
  <dcterms:modified xsi:type="dcterms:W3CDTF">2023-09-14T16:15:00Z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f0dfa5be-e70f-4826-a6eb-4ec28614f8a3</vt:lpwstr>
  </property>
</Properties>
</file>